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71DB3" w14:textId="77777777" w:rsidR="00C51F54" w:rsidRPr="00C51F54" w:rsidRDefault="00C51F54" w:rsidP="00C51F5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lang w:val="it-IT"/>
        </w:rPr>
      </w:pPr>
      <w:r w:rsidRPr="00C51F54">
        <w:rPr>
          <w:rFonts w:cstheme="minorHAnsi"/>
          <w:b/>
          <w:color w:val="2E74B5" w:themeColor="accent1" w:themeShade="BF"/>
          <w:sz w:val="32"/>
          <w:lang w:val="it-IT"/>
        </w:rPr>
        <w:t>FONDO DI AIUTI EUROPEI AGLI INDIGENTI IN ITALIA</w:t>
      </w:r>
    </w:p>
    <w:p w14:paraId="509B3C29" w14:textId="77777777" w:rsidR="00C51F54" w:rsidRPr="00C51F54" w:rsidRDefault="00C51F54" w:rsidP="00C51F5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lang w:val="it-IT"/>
        </w:rPr>
      </w:pPr>
      <w:r w:rsidRPr="00C51F54">
        <w:rPr>
          <w:rFonts w:cstheme="minorHAnsi"/>
          <w:b/>
          <w:color w:val="2E74B5" w:themeColor="accent1" w:themeShade="BF"/>
          <w:sz w:val="32"/>
          <w:lang w:val="it-IT"/>
        </w:rPr>
        <w:t>PO I - FEAD 2014/2020</w:t>
      </w:r>
    </w:p>
    <w:p w14:paraId="6E5FCC74" w14:textId="77777777" w:rsidR="00C51F54" w:rsidRPr="00C51F54" w:rsidRDefault="00C51F54" w:rsidP="00C51F54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  <w:lang w:val="it-IT"/>
        </w:rPr>
      </w:pPr>
      <w:r w:rsidRPr="00C51F54">
        <w:rPr>
          <w:rFonts w:cstheme="minorHAnsi"/>
          <w:smallCaps/>
          <w:color w:val="2E74B5" w:themeColor="accent1" w:themeShade="BF"/>
          <w:sz w:val="24"/>
          <w:lang w:val="it-IT"/>
        </w:rPr>
        <w:t xml:space="preserve">programma operativo per la fornitura </w:t>
      </w:r>
    </w:p>
    <w:p w14:paraId="6C337CFE" w14:textId="77777777" w:rsidR="00C51F54" w:rsidRPr="00C51F54" w:rsidRDefault="00C51F54" w:rsidP="00C51F54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  <w:lang w:val="it-IT"/>
        </w:rPr>
      </w:pPr>
      <w:r w:rsidRPr="00C51F54">
        <w:rPr>
          <w:rFonts w:cstheme="minorHAnsi"/>
          <w:smallCaps/>
          <w:color w:val="2E74B5" w:themeColor="accent1" w:themeShade="BF"/>
          <w:sz w:val="24"/>
          <w:lang w:val="it-IT"/>
        </w:rPr>
        <w:t xml:space="preserve">di prodotti alimentari e/o assistenza materiale di base </w:t>
      </w:r>
    </w:p>
    <w:p w14:paraId="0E4F0A0C" w14:textId="77777777" w:rsidR="00C51F54" w:rsidRPr="00C51F54" w:rsidRDefault="00C51F54" w:rsidP="00C51F54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  <w:lang w:val="it-IT"/>
        </w:rPr>
      </w:pPr>
      <w:r w:rsidRPr="00C51F54">
        <w:rPr>
          <w:rFonts w:cstheme="minorHAnsi"/>
          <w:smallCaps/>
          <w:color w:val="2E74B5" w:themeColor="accent1" w:themeShade="BF"/>
          <w:sz w:val="24"/>
          <w:lang w:val="it-IT"/>
        </w:rPr>
        <w:t xml:space="preserve">per il sostegno a titolo del fondo di aiuti europei agli indigenti in </w:t>
      </w:r>
      <w:proofErr w:type="spellStart"/>
      <w:r w:rsidRPr="00C51F54">
        <w:rPr>
          <w:rFonts w:cstheme="minorHAnsi"/>
          <w:smallCaps/>
          <w:color w:val="2E74B5" w:themeColor="accent1" w:themeShade="BF"/>
          <w:sz w:val="24"/>
          <w:lang w:val="it-IT"/>
        </w:rPr>
        <w:t>italia</w:t>
      </w:r>
      <w:proofErr w:type="spellEnd"/>
    </w:p>
    <w:p w14:paraId="094125E3" w14:textId="77777777" w:rsidR="00C51F54" w:rsidRPr="00C51F54" w:rsidRDefault="00C51F54" w:rsidP="00C51F54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  <w:lang w:val="it-IT"/>
        </w:rPr>
      </w:pPr>
    </w:p>
    <w:p w14:paraId="2357196F" w14:textId="77777777" w:rsidR="00C51F54" w:rsidRPr="00C51F54" w:rsidRDefault="00C51F54" w:rsidP="00C51F54">
      <w:pPr>
        <w:pStyle w:val="Corpotesto"/>
        <w:jc w:val="center"/>
        <w:rPr>
          <w:rFonts w:cstheme="minorHAnsi"/>
          <w:color w:val="2E74B5" w:themeColor="accent1" w:themeShade="BF"/>
          <w:sz w:val="28"/>
          <w:lang w:val="it-IT"/>
        </w:rPr>
      </w:pPr>
    </w:p>
    <w:p w14:paraId="5F7771FE" w14:textId="77777777" w:rsidR="00C51F54" w:rsidRPr="00C51F54" w:rsidRDefault="00C51F54" w:rsidP="00C51F54">
      <w:pPr>
        <w:pStyle w:val="Corpotesto"/>
        <w:jc w:val="center"/>
        <w:rPr>
          <w:rFonts w:cstheme="minorHAnsi"/>
          <w:color w:val="2E74B5" w:themeColor="accent1" w:themeShade="BF"/>
          <w:sz w:val="28"/>
          <w:lang w:val="it-IT"/>
        </w:rPr>
      </w:pPr>
    </w:p>
    <w:p w14:paraId="045CFFBC" w14:textId="77777777" w:rsidR="00C51F54" w:rsidRPr="00C51F54" w:rsidRDefault="00C51F54" w:rsidP="00C51F54">
      <w:pPr>
        <w:pStyle w:val="Corpotesto"/>
        <w:jc w:val="center"/>
        <w:rPr>
          <w:rFonts w:cstheme="minorHAnsi"/>
          <w:color w:val="2E74B5" w:themeColor="accent1" w:themeShade="BF"/>
          <w:sz w:val="28"/>
          <w:lang w:val="it-IT"/>
        </w:rPr>
      </w:pPr>
      <w:r w:rsidRPr="00C51F54">
        <w:rPr>
          <w:rFonts w:cstheme="minorHAnsi"/>
          <w:b/>
          <w:color w:val="2E74B5" w:themeColor="accent1" w:themeShade="BF"/>
          <w:sz w:val="36"/>
          <w:lang w:val="it-IT"/>
        </w:rPr>
        <w:t>Manuale delle Procedure di Audit</w:t>
      </w:r>
    </w:p>
    <w:p w14:paraId="7ECB7655" w14:textId="77777777" w:rsidR="00C51F54" w:rsidRPr="00C51F54" w:rsidRDefault="00C51F54" w:rsidP="00C51F54">
      <w:pPr>
        <w:pStyle w:val="Corpotesto"/>
        <w:jc w:val="center"/>
        <w:rPr>
          <w:rFonts w:cstheme="minorHAnsi"/>
          <w:color w:val="2E74B5" w:themeColor="accent1" w:themeShade="BF"/>
          <w:sz w:val="28"/>
          <w:lang w:val="it-IT"/>
        </w:rPr>
      </w:pPr>
    </w:p>
    <w:p w14:paraId="5E878D11" w14:textId="7AA9E71A" w:rsidR="00C51F54" w:rsidRPr="00C51F54" w:rsidRDefault="00C51F54" w:rsidP="00C51F5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C51F54">
        <w:rPr>
          <w:rFonts w:cstheme="minorHAnsi"/>
          <w:b/>
          <w:color w:val="2E74B5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BC702D">
        <w:rPr>
          <w:rFonts w:cstheme="minorHAnsi"/>
          <w:b/>
          <w:noProof/>
          <w:color w:val="2E74B5" w:themeColor="accent1" w:themeShade="BF"/>
          <w:sz w:val="32"/>
          <w:szCs w:val="21"/>
          <w:lang w:val="it-IT"/>
        </w:rPr>
        <w:t>C02 Rapporto Audit dei Conti.docx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113BBE7D" w14:textId="77777777" w:rsidR="00C51F54" w:rsidRPr="00C51F54" w:rsidRDefault="00C51F54" w:rsidP="00C51F54">
      <w:pPr>
        <w:pStyle w:val="Corpotesto"/>
        <w:jc w:val="center"/>
        <w:rPr>
          <w:rFonts w:cstheme="minorHAnsi"/>
          <w:color w:val="2E74B5" w:themeColor="accent1" w:themeShade="BF"/>
          <w:sz w:val="28"/>
          <w:lang w:val="it-IT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C51F54">
        <w:rPr>
          <w:rFonts w:cstheme="minorHAnsi"/>
          <w:color w:val="2E74B5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3C0777CF" w14:textId="77777777" w:rsidR="00C51F54" w:rsidRPr="00C51F54" w:rsidRDefault="00C51F54" w:rsidP="00C51F54">
      <w:pPr>
        <w:pStyle w:val="Corpotesto"/>
        <w:jc w:val="center"/>
        <w:rPr>
          <w:rFonts w:cstheme="minorHAnsi"/>
          <w:color w:val="2E74B5" w:themeColor="accent1" w:themeShade="BF"/>
          <w:sz w:val="28"/>
          <w:lang w:val="it-IT"/>
        </w:rPr>
      </w:pPr>
    </w:p>
    <w:p w14:paraId="058C1519" w14:textId="77777777" w:rsidR="00C51F54" w:rsidRPr="00C51F54" w:rsidRDefault="00C51F54" w:rsidP="00C51F5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lang w:val="it-IT"/>
        </w:rPr>
      </w:pPr>
      <w:r w:rsidRPr="00C51F54">
        <w:rPr>
          <w:rFonts w:cstheme="minorHAnsi"/>
          <w:b/>
          <w:color w:val="2E74B5" w:themeColor="accent1" w:themeShade="BF"/>
          <w:sz w:val="32"/>
          <w:lang w:val="it-IT"/>
        </w:rPr>
        <w:t>PROGRAMMAZIONE COMUNITARIA 2014-2020</w:t>
      </w:r>
    </w:p>
    <w:p w14:paraId="6A120BD7" w14:textId="77777777" w:rsidR="00C51F54" w:rsidRPr="00C51F54" w:rsidRDefault="00C51F54" w:rsidP="00C51F5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lang w:val="it-IT"/>
        </w:rPr>
      </w:pPr>
      <w:r w:rsidRPr="00C51F54">
        <w:rPr>
          <w:rFonts w:cstheme="minorHAnsi"/>
          <w:b/>
          <w:color w:val="2E74B5" w:themeColor="accent1" w:themeShade="BF"/>
          <w:sz w:val="32"/>
          <w:lang w:val="it-IT"/>
        </w:rPr>
        <w:t>CCI 2014IT05FMOP001</w:t>
      </w:r>
    </w:p>
    <w:p w14:paraId="515D13F1" w14:textId="77777777" w:rsidR="00C51F54" w:rsidRPr="003D5AC8" w:rsidRDefault="00C51F54" w:rsidP="00C51F54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7AD2E069" w14:textId="77777777" w:rsidR="00C51F54" w:rsidRPr="003D5AC8" w:rsidRDefault="00C51F54" w:rsidP="00C51F54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06F81083" w14:textId="77777777" w:rsidR="00C51F54" w:rsidRPr="00C51F54" w:rsidRDefault="00C51F54" w:rsidP="00C51F54">
      <w:pPr>
        <w:pStyle w:val="Corpotesto"/>
        <w:jc w:val="center"/>
        <w:rPr>
          <w:rFonts w:cstheme="minorHAnsi"/>
          <w:color w:val="2E74B5" w:themeColor="accent1" w:themeShade="BF"/>
          <w:sz w:val="21"/>
          <w:lang w:val="it-IT"/>
        </w:rPr>
      </w:pPr>
      <w:r w:rsidRPr="00C51F54">
        <w:rPr>
          <w:rFonts w:cstheme="minorHAnsi"/>
          <w:color w:val="2E74B5" w:themeColor="accent1" w:themeShade="BF"/>
          <w:sz w:val="21"/>
          <w:lang w:val="it-IT"/>
        </w:rPr>
        <w:t>Dicembre 2021</w:t>
      </w:r>
    </w:p>
    <w:p w14:paraId="759E2882" w14:textId="77777777" w:rsidR="00C51F54" w:rsidRPr="003D5AC8" w:rsidRDefault="00C51F54" w:rsidP="00C51F54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47C09CE9" w14:textId="77777777" w:rsidR="006E6A37" w:rsidRPr="009901EE" w:rsidRDefault="006E6A37" w:rsidP="009901EE">
      <w:pPr>
        <w:spacing w:after="120" w:line="276" w:lineRule="auto"/>
        <w:ind w:firstLine="426"/>
        <w:jc w:val="both"/>
        <w:rPr>
          <w:rFonts w:asciiTheme="majorHAnsi" w:hAnsiTheme="majorHAnsi" w:cstheme="majorHAnsi"/>
          <w:color w:val="1F4E79" w:themeColor="accent1" w:themeShade="80"/>
          <w:sz w:val="24"/>
          <w:szCs w:val="24"/>
        </w:rPr>
      </w:pPr>
    </w:p>
    <w:p w14:paraId="4350604D" w14:textId="77777777" w:rsidR="00BC1387" w:rsidRPr="009901EE" w:rsidRDefault="00BC1387" w:rsidP="009901EE">
      <w:pPr>
        <w:spacing w:after="120" w:line="276" w:lineRule="auto"/>
        <w:ind w:firstLine="426"/>
        <w:jc w:val="both"/>
        <w:rPr>
          <w:rFonts w:asciiTheme="majorHAnsi" w:hAnsiTheme="majorHAnsi" w:cstheme="majorHAnsi"/>
          <w:color w:val="1F4E79" w:themeColor="accent1" w:themeShade="80"/>
          <w:sz w:val="24"/>
          <w:szCs w:val="24"/>
        </w:rPr>
        <w:sectPr w:rsidR="00BC1387" w:rsidRPr="009901EE" w:rsidSect="0005569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rFonts w:asciiTheme="majorHAnsi" w:hAnsiTheme="majorHAnsi" w:cstheme="majorHAnsi"/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D8B32A6" w14:textId="77777777" w:rsidR="006E6A37" w:rsidRPr="009901EE" w:rsidRDefault="00126A70" w:rsidP="009901EE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rPr>
              <w:rFonts w:asciiTheme="majorHAnsi" w:hAnsiTheme="majorHAnsi" w:cstheme="majorHAnsi"/>
              <w:b/>
              <w:color w:val="1F4E79" w:themeColor="accent1" w:themeShade="80"/>
              <w:sz w:val="24"/>
              <w:szCs w:val="24"/>
            </w:rPr>
          </w:pPr>
          <w:r w:rsidRPr="009901EE">
            <w:rPr>
              <w:rFonts w:asciiTheme="majorHAnsi" w:hAnsiTheme="majorHAnsi" w:cstheme="majorHAnsi"/>
              <w:b/>
              <w:color w:val="1F4E79" w:themeColor="accent1" w:themeShade="80"/>
              <w:sz w:val="24"/>
              <w:szCs w:val="24"/>
            </w:rPr>
            <w:t>SOMMARIO</w:t>
          </w:r>
        </w:p>
        <w:p w14:paraId="68C589F5" w14:textId="7D9D5879" w:rsidR="00E72031" w:rsidRDefault="006E6A37">
          <w:pPr>
            <w:pStyle w:val="Sommario1"/>
            <w:tabs>
              <w:tab w:val="left" w:pos="440"/>
              <w:tab w:val="right" w:leader="dot" w:pos="9486"/>
            </w:tabs>
            <w:rPr>
              <w:rFonts w:eastAsiaTheme="minorEastAsia"/>
              <w:noProof/>
              <w:lang w:eastAsia="it-IT"/>
            </w:rPr>
          </w:pPr>
          <w:r w:rsidRPr="009901EE">
            <w:rPr>
              <w:rFonts w:asciiTheme="majorHAnsi" w:hAnsiTheme="majorHAnsi" w:cstheme="majorHAnsi"/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9901EE">
            <w:rPr>
              <w:rFonts w:asciiTheme="majorHAnsi" w:hAnsiTheme="majorHAnsi" w:cstheme="majorHAnsi"/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9901EE">
            <w:rPr>
              <w:rFonts w:asciiTheme="majorHAnsi" w:hAnsiTheme="majorHAnsi" w:cstheme="majorHAnsi"/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62808" w:history="1">
            <w:r w:rsidR="00E72031" w:rsidRPr="007907D3">
              <w:rPr>
                <w:rStyle w:val="Collegamentoipertestuale"/>
                <w:rFonts w:eastAsia="Times New Roman" w:cstheme="minorHAnsi"/>
                <w:b/>
                <w:caps/>
                <w:noProof/>
              </w:rPr>
              <w:t>1.</w:t>
            </w:r>
            <w:r w:rsidR="00E72031">
              <w:rPr>
                <w:rFonts w:eastAsiaTheme="minorEastAsia"/>
                <w:noProof/>
                <w:lang w:eastAsia="it-IT"/>
              </w:rPr>
              <w:tab/>
            </w:r>
            <w:r w:rsidR="00E72031" w:rsidRPr="007907D3">
              <w:rPr>
                <w:rStyle w:val="Collegamentoipertestuale"/>
                <w:rFonts w:eastAsia="Times New Roman" w:cstheme="minorHAnsi"/>
                <w:b/>
                <w:caps/>
                <w:noProof/>
              </w:rPr>
              <w:t>Quadro normativo di riferimento</w:t>
            </w:r>
            <w:r w:rsidR="00E72031">
              <w:rPr>
                <w:noProof/>
                <w:webHidden/>
              </w:rPr>
              <w:tab/>
            </w:r>
            <w:r w:rsidR="00E72031">
              <w:rPr>
                <w:noProof/>
                <w:webHidden/>
              </w:rPr>
              <w:fldChar w:fldCharType="begin"/>
            </w:r>
            <w:r w:rsidR="00E72031">
              <w:rPr>
                <w:noProof/>
                <w:webHidden/>
              </w:rPr>
              <w:instrText xml:space="preserve"> PAGEREF _Toc91062808 \h </w:instrText>
            </w:r>
            <w:r w:rsidR="00E72031">
              <w:rPr>
                <w:noProof/>
                <w:webHidden/>
              </w:rPr>
            </w:r>
            <w:r w:rsidR="00E72031">
              <w:rPr>
                <w:noProof/>
                <w:webHidden/>
              </w:rPr>
              <w:fldChar w:fldCharType="separate"/>
            </w:r>
            <w:r w:rsidR="00E72031">
              <w:rPr>
                <w:noProof/>
                <w:webHidden/>
              </w:rPr>
              <w:t>5</w:t>
            </w:r>
            <w:r w:rsidR="00E72031">
              <w:rPr>
                <w:noProof/>
                <w:webHidden/>
              </w:rPr>
              <w:fldChar w:fldCharType="end"/>
            </w:r>
          </w:hyperlink>
        </w:p>
        <w:p w14:paraId="7D4A7456" w14:textId="703ACE0E" w:rsidR="00E72031" w:rsidRDefault="00E72031">
          <w:pPr>
            <w:pStyle w:val="Sommario1"/>
            <w:tabs>
              <w:tab w:val="left" w:pos="440"/>
              <w:tab w:val="right" w:leader="dot" w:pos="9486"/>
            </w:tabs>
            <w:rPr>
              <w:rFonts w:eastAsiaTheme="minorEastAsia"/>
              <w:noProof/>
              <w:lang w:eastAsia="it-IT"/>
            </w:rPr>
          </w:pPr>
          <w:hyperlink w:anchor="_Toc91062809" w:history="1">
            <w:r w:rsidRPr="007907D3">
              <w:rPr>
                <w:rStyle w:val="Collegamentoipertestuale"/>
                <w:rFonts w:cstheme="majorHAnsi"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907D3">
              <w:rPr>
                <w:rStyle w:val="Collegamentoipertestuale"/>
                <w:rFonts w:ascii="Calibri-Bold" w:hAnsi="Calibri-Bold" w:cs="Calibri-Bold"/>
                <w:b/>
                <w:bCs/>
                <w:noProof/>
              </w:rPr>
              <w:t>INFORMAZIONI SUGLI ORGANISMI CHE HANNO ESEGUITO L’AUDIT DEI CONTI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_Toc91062809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5DFC82" w14:textId="7113055C" w:rsidR="00E72031" w:rsidRDefault="00E72031">
          <w:pPr>
            <w:pStyle w:val="Sommario1"/>
            <w:tabs>
              <w:tab w:val="left" w:pos="440"/>
              <w:tab w:val="right" w:leader="dot" w:pos="9486"/>
            </w:tabs>
            <w:rPr>
              <w:rFonts w:eastAsiaTheme="minorEastAsia"/>
              <w:noProof/>
              <w:lang w:eastAsia="it-IT"/>
            </w:rPr>
          </w:pPr>
          <w:hyperlink w:anchor="_Toc91062810" w:history="1"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_Toc91062810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ACC50B" w14:textId="0D18462D" w:rsidR="00E72031" w:rsidRDefault="00E72031">
          <w:pPr>
            <w:pStyle w:val="Sommario1"/>
            <w:tabs>
              <w:tab w:val="left" w:pos="440"/>
              <w:tab w:val="right" w:leader="dot" w:pos="9486"/>
            </w:tabs>
            <w:rPr>
              <w:rFonts w:eastAsiaTheme="minorEastAsia"/>
              <w:noProof/>
              <w:lang w:eastAsia="it-IT"/>
            </w:rPr>
          </w:pPr>
          <w:hyperlink w:anchor="_Toc91062811" w:history="1"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Obiettivi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_Toc91062811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100B36" w14:textId="0F86D7EC" w:rsidR="00E72031" w:rsidRDefault="00E72031">
          <w:pPr>
            <w:pStyle w:val="Sommario1"/>
            <w:tabs>
              <w:tab w:val="left" w:pos="440"/>
              <w:tab w:val="right" w:leader="dot" w:pos="9486"/>
            </w:tabs>
            <w:rPr>
              <w:rFonts w:eastAsiaTheme="minorEastAsia"/>
              <w:noProof/>
              <w:lang w:eastAsia="it-IT"/>
            </w:rPr>
          </w:pPr>
          <w:hyperlink w:anchor="_Toc91062812" w:history="1"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Lavoro di Audit eseguito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_Toc91062812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B1D1D" w14:textId="0FECF925" w:rsidR="00E72031" w:rsidRDefault="00E72031">
          <w:pPr>
            <w:pStyle w:val="Sommario1"/>
            <w:tabs>
              <w:tab w:val="left" w:pos="440"/>
              <w:tab w:val="right" w:leader="dot" w:pos="9486"/>
            </w:tabs>
            <w:rPr>
              <w:rFonts w:eastAsiaTheme="minorEastAsia"/>
              <w:noProof/>
              <w:lang w:eastAsia="it-IT"/>
            </w:rPr>
          </w:pPr>
          <w:hyperlink w:anchor="_Toc91062813" w:history="1"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6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Osservazioni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_Toc91062813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8BD2C" w14:textId="1F3D0F53" w:rsidR="00E72031" w:rsidRDefault="00E72031">
          <w:pPr>
            <w:pStyle w:val="Sommario1"/>
            <w:tabs>
              <w:tab w:val="left" w:pos="440"/>
              <w:tab w:val="right" w:leader="dot" w:pos="9486"/>
            </w:tabs>
            <w:rPr>
              <w:rFonts w:eastAsiaTheme="minorEastAsia"/>
              <w:noProof/>
              <w:lang w:eastAsia="it-IT"/>
            </w:rPr>
          </w:pPr>
          <w:hyperlink w:anchor="_Toc91062814" w:history="1"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7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907D3">
              <w:rPr>
                <w:rStyle w:val="Collegamentoipertestuale"/>
                <w:rFonts w:eastAsia="Calibri" w:cstheme="majorHAnsi"/>
                <w:b/>
                <w:caps/>
                <w:noProof/>
              </w:rPr>
              <w:t>Conclusioni e parere di audit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_Toc91062814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AA80FB" w14:textId="3BAE2072" w:rsidR="006E6A37" w:rsidRPr="009901EE" w:rsidRDefault="006E6A37" w:rsidP="009901EE">
          <w:pPr>
            <w:tabs>
              <w:tab w:val="right" w:leader="dot" w:pos="9628"/>
            </w:tabs>
            <w:spacing w:before="120" w:after="100" w:line="276" w:lineRule="auto"/>
            <w:rPr>
              <w:rFonts w:asciiTheme="majorHAnsi" w:hAnsiTheme="majorHAnsi" w:cstheme="majorHAnsi"/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9901EE">
            <w:rPr>
              <w:rFonts w:asciiTheme="majorHAnsi" w:hAnsiTheme="majorHAnsi" w:cstheme="majorHAnsi"/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57231AB0" w14:textId="77777777" w:rsidR="006E6A37" w:rsidRPr="009901EE" w:rsidRDefault="006E6A37" w:rsidP="009901EE">
      <w:pPr>
        <w:spacing w:after="120" w:line="276" w:lineRule="auto"/>
        <w:ind w:firstLine="426"/>
        <w:jc w:val="both"/>
        <w:rPr>
          <w:rFonts w:asciiTheme="majorHAnsi" w:hAnsiTheme="majorHAnsi" w:cstheme="majorHAnsi"/>
          <w:color w:val="1F4E79" w:themeColor="accent1" w:themeShade="80"/>
          <w:sz w:val="24"/>
          <w:szCs w:val="24"/>
          <w:lang w:val="en-US"/>
        </w:rPr>
      </w:pPr>
    </w:p>
    <w:p w14:paraId="78C3B55D" w14:textId="77777777" w:rsidR="006A4B1E" w:rsidRPr="009901EE" w:rsidRDefault="006A4B1E" w:rsidP="009901EE">
      <w:pPr>
        <w:spacing w:after="120" w:line="276" w:lineRule="auto"/>
        <w:ind w:firstLine="426"/>
        <w:jc w:val="both"/>
        <w:rPr>
          <w:rFonts w:asciiTheme="majorHAnsi" w:hAnsiTheme="majorHAnsi" w:cstheme="majorHAnsi"/>
          <w:color w:val="1F4E79" w:themeColor="accent1" w:themeShade="80"/>
          <w:sz w:val="24"/>
          <w:szCs w:val="24"/>
          <w:lang w:val="en-US"/>
        </w:rPr>
      </w:pPr>
    </w:p>
    <w:p w14:paraId="0711B26A" w14:textId="77777777" w:rsidR="008F4C97" w:rsidRPr="009901EE" w:rsidRDefault="008F4C97" w:rsidP="009901EE">
      <w:pPr>
        <w:spacing w:line="276" w:lineRule="auto"/>
        <w:ind w:firstLine="426"/>
        <w:jc w:val="both"/>
        <w:rPr>
          <w:rFonts w:asciiTheme="majorHAnsi" w:hAnsiTheme="majorHAnsi" w:cstheme="majorHAnsi"/>
          <w:color w:val="1F4E79" w:themeColor="accent1" w:themeShade="80"/>
          <w:sz w:val="24"/>
          <w:szCs w:val="24"/>
          <w:lang w:val="en-US"/>
        </w:rPr>
      </w:pPr>
      <w:r w:rsidRPr="009901EE">
        <w:rPr>
          <w:rFonts w:asciiTheme="majorHAnsi" w:hAnsiTheme="majorHAnsi" w:cstheme="majorHAnsi"/>
          <w:color w:val="1F4E79" w:themeColor="accent1" w:themeShade="80"/>
          <w:sz w:val="24"/>
          <w:szCs w:val="24"/>
          <w:lang w:val="en-US"/>
        </w:rPr>
        <w:br w:type="page"/>
      </w:r>
    </w:p>
    <w:p w14:paraId="4CF64946" w14:textId="77777777" w:rsidR="00B462F4" w:rsidRPr="009901EE" w:rsidRDefault="00B462F4" w:rsidP="009901EE">
      <w:pPr>
        <w:spacing w:after="120" w:line="276" w:lineRule="auto"/>
        <w:ind w:firstLine="426"/>
        <w:jc w:val="both"/>
        <w:rPr>
          <w:rFonts w:asciiTheme="majorHAnsi" w:hAnsiTheme="majorHAnsi" w:cstheme="majorHAnsi"/>
          <w:color w:val="1F4E79" w:themeColor="accent1" w:themeShade="80"/>
          <w:sz w:val="24"/>
          <w:szCs w:val="24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70"/>
        <w:gridCol w:w="5342"/>
      </w:tblGrid>
      <w:tr w:rsidR="00B462F4" w:rsidRPr="009901EE" w14:paraId="5C854130" w14:textId="77777777" w:rsidTr="00890E8A">
        <w:trPr>
          <w:trHeight w:val="584"/>
        </w:trPr>
        <w:tc>
          <w:tcPr>
            <w:tcW w:w="2250" w:type="pct"/>
            <w:shd w:val="clear" w:color="auto" w:fill="DEEAF6" w:themeFill="accent1" w:themeFillTint="33"/>
          </w:tcPr>
          <w:p w14:paraId="1F65E82F" w14:textId="77777777" w:rsidR="00B462F4" w:rsidRPr="009901EE" w:rsidRDefault="00B462F4" w:rsidP="009901EE">
            <w:pPr>
              <w:spacing w:before="120" w:after="120" w:line="276" w:lineRule="auto"/>
              <w:ind w:left="29" w:hanging="29"/>
              <w:jc w:val="both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  <w:u w:val="single"/>
              </w:rPr>
              <w:t>Codice Programma Operativo:</w:t>
            </w:r>
          </w:p>
        </w:tc>
        <w:tc>
          <w:tcPr>
            <w:tcW w:w="2750" w:type="pct"/>
          </w:tcPr>
          <w:p w14:paraId="2389202D" w14:textId="77777777" w:rsidR="00890E8A" w:rsidRPr="009901EE" w:rsidRDefault="00890E8A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 xml:space="preserve">2014IT05FMOP001 </w:t>
            </w:r>
          </w:p>
          <w:p w14:paraId="5EA434AA" w14:textId="77777777" w:rsidR="00B462F4" w:rsidRPr="009901EE" w:rsidRDefault="00B462F4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462F4" w:rsidRPr="009901EE" w14:paraId="5D79F39E" w14:textId="77777777" w:rsidTr="00890E8A">
        <w:trPr>
          <w:trHeight w:val="552"/>
        </w:trPr>
        <w:tc>
          <w:tcPr>
            <w:tcW w:w="2250" w:type="pct"/>
            <w:shd w:val="clear" w:color="auto" w:fill="DEEAF6" w:themeFill="accent1" w:themeFillTint="33"/>
          </w:tcPr>
          <w:p w14:paraId="7F22A9B2" w14:textId="77777777" w:rsidR="00B462F4" w:rsidRPr="009901EE" w:rsidRDefault="00B462F4" w:rsidP="009901EE">
            <w:pPr>
              <w:spacing w:before="120" w:after="120" w:line="276" w:lineRule="auto"/>
              <w:ind w:left="29" w:hanging="29"/>
              <w:jc w:val="both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  <w:u w:val="single"/>
              </w:rPr>
              <w:t>Titolo Programma Operativo:</w:t>
            </w:r>
          </w:p>
        </w:tc>
        <w:tc>
          <w:tcPr>
            <w:tcW w:w="2750" w:type="pct"/>
          </w:tcPr>
          <w:p w14:paraId="6FD51B01" w14:textId="77777777" w:rsidR="00B462F4" w:rsidRPr="009901EE" w:rsidRDefault="00890E8A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color w:val="262626" w:themeColor="text1" w:themeTint="D9"/>
                <w:sz w:val="24"/>
                <w:szCs w:val="24"/>
              </w:rPr>
              <w:t>Programma Operativo I FEAD 2014-2020</w:t>
            </w:r>
          </w:p>
        </w:tc>
      </w:tr>
      <w:tr w:rsidR="00B462F4" w:rsidRPr="009901EE" w14:paraId="6C4991AF" w14:textId="77777777" w:rsidTr="00890E8A">
        <w:trPr>
          <w:trHeight w:val="506"/>
        </w:trPr>
        <w:tc>
          <w:tcPr>
            <w:tcW w:w="2250" w:type="pct"/>
            <w:shd w:val="clear" w:color="auto" w:fill="DEEAF6" w:themeFill="accent1" w:themeFillTint="33"/>
          </w:tcPr>
          <w:p w14:paraId="2A83D0C9" w14:textId="77777777" w:rsidR="00B462F4" w:rsidRPr="009901EE" w:rsidRDefault="00B462F4" w:rsidP="009901EE">
            <w:pPr>
              <w:spacing w:before="120" w:after="120" w:line="276" w:lineRule="auto"/>
              <w:ind w:left="29" w:hanging="29"/>
              <w:jc w:val="both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  <w:u w:val="single"/>
              </w:rPr>
              <w:t>Fondo</w:t>
            </w:r>
          </w:p>
        </w:tc>
        <w:tc>
          <w:tcPr>
            <w:tcW w:w="2750" w:type="pct"/>
          </w:tcPr>
          <w:p w14:paraId="1DED8770" w14:textId="77777777" w:rsidR="00890E8A" w:rsidRPr="009901EE" w:rsidRDefault="002B4BE8" w:rsidP="009901EE">
            <w:pPr>
              <w:spacing w:line="276" w:lineRule="auto"/>
              <w:ind w:hanging="29"/>
              <w:jc w:val="both"/>
              <w:rPr>
                <w:rFonts w:asciiTheme="majorHAnsi" w:hAnsiTheme="majorHAnsi" w:cstheme="majorHAnsi"/>
                <w:bCs/>
                <w:color w:val="262626" w:themeColor="text1" w:themeTint="D9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bCs/>
                <w:color w:val="262626" w:themeColor="text1" w:themeTint="D9"/>
                <w:sz w:val="24"/>
                <w:szCs w:val="24"/>
              </w:rPr>
              <w:t>“</w:t>
            </w:r>
            <w:r w:rsidR="00890E8A" w:rsidRPr="009901EE">
              <w:rPr>
                <w:rFonts w:asciiTheme="majorHAnsi" w:hAnsiTheme="majorHAnsi" w:cstheme="majorHAnsi"/>
                <w:bCs/>
                <w:color w:val="262626" w:themeColor="text1" w:themeTint="D9"/>
                <w:sz w:val="24"/>
                <w:szCs w:val="24"/>
              </w:rPr>
              <w:t>Fondo Aiuto europeo agli Indigenti</w:t>
            </w:r>
            <w:r w:rsidRPr="009901EE">
              <w:rPr>
                <w:rFonts w:asciiTheme="majorHAnsi" w:hAnsiTheme="majorHAnsi" w:cstheme="majorHAnsi"/>
                <w:bCs/>
                <w:color w:val="262626" w:themeColor="text1" w:themeTint="D9"/>
                <w:sz w:val="24"/>
                <w:szCs w:val="24"/>
              </w:rPr>
              <w:t>”</w:t>
            </w:r>
            <w:r w:rsidR="00890E8A" w:rsidRPr="009901EE">
              <w:rPr>
                <w:rFonts w:asciiTheme="majorHAnsi" w:hAnsiTheme="majorHAnsi" w:cstheme="majorHAnsi"/>
                <w:bCs/>
                <w:color w:val="262626" w:themeColor="text1" w:themeTint="D9"/>
                <w:sz w:val="24"/>
                <w:szCs w:val="24"/>
              </w:rPr>
              <w:t xml:space="preserve"> </w:t>
            </w:r>
          </w:p>
          <w:p w14:paraId="3C71940D" w14:textId="77777777" w:rsidR="00B462F4" w:rsidRPr="009901EE" w:rsidRDefault="002B4BE8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 xml:space="preserve">FEAD </w:t>
            </w:r>
          </w:p>
        </w:tc>
      </w:tr>
      <w:tr w:rsidR="00B462F4" w:rsidRPr="009901EE" w14:paraId="04B92154" w14:textId="77777777" w:rsidTr="00890E8A">
        <w:tc>
          <w:tcPr>
            <w:tcW w:w="2250" w:type="pct"/>
            <w:shd w:val="clear" w:color="auto" w:fill="DEEAF6" w:themeFill="accent1" w:themeFillTint="33"/>
          </w:tcPr>
          <w:p w14:paraId="5D66D40B" w14:textId="77777777" w:rsidR="00B462F4" w:rsidRPr="009901EE" w:rsidRDefault="00B462F4" w:rsidP="009901EE">
            <w:pPr>
              <w:spacing w:before="120" w:after="120" w:line="276" w:lineRule="auto"/>
              <w:ind w:left="284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Periodo Contabile</w:t>
            </w:r>
          </w:p>
        </w:tc>
        <w:tc>
          <w:tcPr>
            <w:tcW w:w="2750" w:type="pct"/>
          </w:tcPr>
          <w:p w14:paraId="4CE1925F" w14:textId="21B2E67C" w:rsidR="00B462F4" w:rsidRPr="009901EE" w:rsidRDefault="000B2D89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…….</w:t>
            </w:r>
          </w:p>
        </w:tc>
      </w:tr>
      <w:tr w:rsidR="00B462F4" w:rsidRPr="009901EE" w14:paraId="1C1F3FFF" w14:textId="77777777" w:rsidTr="00890E8A">
        <w:tc>
          <w:tcPr>
            <w:tcW w:w="2250" w:type="pct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D404CAF" w14:textId="77777777" w:rsidR="00B462F4" w:rsidRPr="009901EE" w:rsidRDefault="00B462F4" w:rsidP="009901EE">
            <w:pPr>
              <w:spacing w:before="120" w:after="120" w:line="276" w:lineRule="auto"/>
              <w:ind w:left="284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Autorità di Audit</w:t>
            </w:r>
          </w:p>
        </w:tc>
        <w:tc>
          <w:tcPr>
            <w:tcW w:w="2750" w:type="pct"/>
            <w:tcBorders>
              <w:bottom w:val="single" w:sz="4" w:space="0" w:color="auto"/>
            </w:tcBorders>
          </w:tcPr>
          <w:p w14:paraId="36CAC61E" w14:textId="77777777" w:rsidR="00B462F4" w:rsidRPr="009901EE" w:rsidRDefault="00A2666D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Ministero del Lavoro e delle Politiche Sociali - Segretariato Generale</w:t>
            </w:r>
          </w:p>
        </w:tc>
      </w:tr>
      <w:tr w:rsidR="00B462F4" w:rsidRPr="009901EE" w14:paraId="34DE661C" w14:textId="77777777" w:rsidTr="00890E8A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75E6DDF8" w14:textId="77777777" w:rsidR="00B462F4" w:rsidRPr="009901EE" w:rsidRDefault="00B462F4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Principali Informazioni</w:t>
            </w:r>
          </w:p>
        </w:tc>
      </w:tr>
      <w:tr w:rsidR="00B462F4" w:rsidRPr="009901EE" w14:paraId="6E8C4300" w14:textId="77777777" w:rsidTr="00890E8A">
        <w:tc>
          <w:tcPr>
            <w:tcW w:w="2250" w:type="pct"/>
            <w:tcBorders>
              <w:top w:val="nil"/>
            </w:tcBorders>
            <w:shd w:val="clear" w:color="auto" w:fill="DEEAF6" w:themeFill="accent1" w:themeFillTint="33"/>
          </w:tcPr>
          <w:p w14:paraId="5300131E" w14:textId="77777777" w:rsidR="00B462F4" w:rsidRPr="009901EE" w:rsidRDefault="00B462F4" w:rsidP="009901EE">
            <w:pPr>
              <w:spacing w:before="120" w:after="120" w:line="276" w:lineRule="auto"/>
              <w:ind w:left="29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Autorità di Certificazione</w:t>
            </w:r>
          </w:p>
        </w:tc>
        <w:tc>
          <w:tcPr>
            <w:tcW w:w="2750" w:type="pct"/>
            <w:tcBorders>
              <w:top w:val="nil"/>
            </w:tcBorders>
          </w:tcPr>
          <w:p w14:paraId="44EA42A9" w14:textId="77777777" w:rsidR="00240BC3" w:rsidRPr="009901EE" w:rsidRDefault="00240BC3" w:rsidP="009901EE">
            <w:pPr>
              <w:autoSpaceDE w:val="0"/>
              <w:autoSpaceDN w:val="0"/>
              <w:adjustRightInd w:val="0"/>
              <w:spacing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Ministero del Lavoro e delle Politiche Sociali</w:t>
            </w:r>
            <w:r w:rsidR="00A2666D" w:rsidRPr="009901EE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 xml:space="preserve">Direzione Generale Direzione Generale per la lotta alla povertà e per la programmazione sociale </w:t>
            </w:r>
          </w:p>
          <w:p w14:paraId="6A0C2249" w14:textId="77777777" w:rsidR="00B462F4" w:rsidRPr="009901EE" w:rsidRDefault="00240BC3" w:rsidP="009901EE">
            <w:pPr>
              <w:autoSpaceDE w:val="0"/>
              <w:autoSpaceDN w:val="0"/>
              <w:adjustRightInd w:val="0"/>
              <w:spacing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Divisione V</w:t>
            </w:r>
          </w:p>
        </w:tc>
      </w:tr>
      <w:tr w:rsidR="00B462F4" w:rsidRPr="009901EE" w14:paraId="0814D434" w14:textId="77777777" w:rsidTr="00890E8A">
        <w:tc>
          <w:tcPr>
            <w:tcW w:w="2250" w:type="pct"/>
            <w:shd w:val="clear" w:color="auto" w:fill="DEEAF6" w:themeFill="accent1" w:themeFillTint="33"/>
          </w:tcPr>
          <w:p w14:paraId="15F35A34" w14:textId="77777777" w:rsidR="00B462F4" w:rsidRPr="009901EE" w:rsidRDefault="00B462F4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Referenti e riferimenti</w:t>
            </w:r>
          </w:p>
        </w:tc>
        <w:tc>
          <w:tcPr>
            <w:tcW w:w="2750" w:type="pct"/>
          </w:tcPr>
          <w:p w14:paraId="33D83277" w14:textId="1E05DBE8" w:rsidR="00B462F4" w:rsidRPr="009901EE" w:rsidRDefault="00B462F4" w:rsidP="000458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462F4" w:rsidRPr="009901EE" w14:paraId="49191568" w14:textId="77777777" w:rsidTr="00890E8A">
        <w:tc>
          <w:tcPr>
            <w:tcW w:w="2250" w:type="pct"/>
            <w:tcBorders>
              <w:top w:val="nil"/>
            </w:tcBorders>
            <w:shd w:val="clear" w:color="auto" w:fill="DEEAF6" w:themeFill="accent1" w:themeFillTint="33"/>
          </w:tcPr>
          <w:p w14:paraId="221D819F" w14:textId="77777777" w:rsidR="00B462F4" w:rsidRPr="009901EE" w:rsidRDefault="00B462F4" w:rsidP="009901EE">
            <w:pPr>
              <w:spacing w:before="120" w:after="120" w:line="276" w:lineRule="auto"/>
              <w:ind w:left="29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Data controllo</w:t>
            </w:r>
          </w:p>
        </w:tc>
        <w:tc>
          <w:tcPr>
            <w:tcW w:w="2750" w:type="pct"/>
            <w:tcBorders>
              <w:top w:val="nil"/>
            </w:tcBorders>
          </w:tcPr>
          <w:p w14:paraId="6102631D" w14:textId="4C69CE81" w:rsidR="00B462F4" w:rsidRPr="009901EE" w:rsidRDefault="002B4BE8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 xml:space="preserve">Data </w:t>
            </w:r>
            <w:r w:rsidR="001F689C" w:rsidRPr="009901EE">
              <w:rPr>
                <w:rFonts w:asciiTheme="majorHAnsi" w:hAnsiTheme="majorHAnsi" w:cstheme="majorHAnsi"/>
                <w:sz w:val="24"/>
                <w:szCs w:val="24"/>
              </w:rPr>
              <w:t xml:space="preserve">inizio </w:t>
            </w:r>
            <w:r w:rsidR="000B2D89" w:rsidRPr="009901EE">
              <w:rPr>
                <w:rFonts w:asciiTheme="majorHAnsi" w:hAnsiTheme="majorHAnsi" w:cstheme="majorHAnsi"/>
                <w:sz w:val="24"/>
                <w:szCs w:val="24"/>
              </w:rPr>
              <w:t>…</w:t>
            </w:r>
          </w:p>
          <w:p w14:paraId="33A12BC6" w14:textId="44A4A554" w:rsidR="002B4BE8" w:rsidRPr="009901EE" w:rsidRDefault="002B4BE8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 xml:space="preserve">Data </w:t>
            </w:r>
            <w:r w:rsidR="001F689C" w:rsidRPr="009901EE">
              <w:rPr>
                <w:rFonts w:asciiTheme="majorHAnsi" w:hAnsiTheme="majorHAnsi" w:cstheme="majorHAnsi"/>
                <w:sz w:val="24"/>
                <w:szCs w:val="24"/>
              </w:rPr>
              <w:t xml:space="preserve">Fine </w:t>
            </w:r>
            <w:r w:rsidR="000B2D89" w:rsidRPr="009901EE">
              <w:rPr>
                <w:rFonts w:asciiTheme="majorHAnsi" w:hAnsiTheme="majorHAnsi" w:cstheme="majorHAnsi"/>
                <w:sz w:val="24"/>
                <w:szCs w:val="24"/>
              </w:rPr>
              <w:t>…</w:t>
            </w:r>
          </w:p>
        </w:tc>
      </w:tr>
      <w:tr w:rsidR="00B462F4" w:rsidRPr="009901EE" w14:paraId="3CED2D9D" w14:textId="77777777" w:rsidTr="00890E8A">
        <w:tc>
          <w:tcPr>
            <w:tcW w:w="2250" w:type="pct"/>
            <w:shd w:val="clear" w:color="auto" w:fill="DEEAF6" w:themeFill="accent1" w:themeFillTint="33"/>
          </w:tcPr>
          <w:p w14:paraId="625725C0" w14:textId="77777777" w:rsidR="00B462F4" w:rsidRPr="009901EE" w:rsidRDefault="00B462F4" w:rsidP="009901EE">
            <w:pPr>
              <w:spacing w:before="120" w:after="120" w:line="276" w:lineRule="auto"/>
              <w:ind w:left="284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Incaricati dell’Audit</w:t>
            </w:r>
          </w:p>
          <w:p w14:paraId="445010F7" w14:textId="77777777" w:rsidR="00B462F4" w:rsidRPr="009901EE" w:rsidRDefault="00B462F4" w:rsidP="009901EE">
            <w:pPr>
              <w:spacing w:before="120" w:after="120" w:line="276" w:lineRule="auto"/>
              <w:ind w:left="284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Controllore interno:</w:t>
            </w:r>
          </w:p>
          <w:p w14:paraId="4EA7A1E1" w14:textId="77777777" w:rsidR="00B462F4" w:rsidRPr="009901EE" w:rsidRDefault="00B462F4" w:rsidP="009901EE">
            <w:pPr>
              <w:spacing w:before="120" w:after="120" w:line="276" w:lineRule="auto"/>
              <w:ind w:left="284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FFA1FE4" w14:textId="77777777" w:rsidR="0026010C" w:rsidRPr="009901EE" w:rsidRDefault="0026010C" w:rsidP="009901EE">
            <w:pPr>
              <w:spacing w:before="120" w:after="120" w:line="276" w:lineRule="auto"/>
              <w:ind w:left="284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9A61791" w14:textId="77777777" w:rsidR="00B462F4" w:rsidRPr="009901EE" w:rsidRDefault="0026010C" w:rsidP="009901EE">
            <w:pPr>
              <w:spacing w:before="120" w:after="120" w:line="276" w:lineRule="auto"/>
              <w:ind w:left="284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 xml:space="preserve">Assistenza Tecnica </w:t>
            </w:r>
          </w:p>
          <w:p w14:paraId="43E2CFD2" w14:textId="77777777" w:rsidR="00B462F4" w:rsidRPr="009901EE" w:rsidRDefault="00B462F4" w:rsidP="009901EE">
            <w:pPr>
              <w:spacing w:before="120" w:after="120" w:line="276" w:lineRule="auto"/>
              <w:ind w:left="284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750" w:type="pct"/>
          </w:tcPr>
          <w:p w14:paraId="20E2EEBB" w14:textId="77777777" w:rsidR="00B462F4" w:rsidRPr="009901EE" w:rsidRDefault="00B462F4" w:rsidP="009901EE">
            <w:pPr>
              <w:autoSpaceDE w:val="0"/>
              <w:autoSpaceDN w:val="0"/>
              <w:adjustRightInd w:val="0"/>
              <w:spacing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462F4" w:rsidRPr="009901EE" w14:paraId="043CABDD" w14:textId="77777777" w:rsidTr="00890E8A">
        <w:tc>
          <w:tcPr>
            <w:tcW w:w="2250" w:type="pct"/>
            <w:shd w:val="clear" w:color="auto" w:fill="DEEAF6" w:themeFill="accent1" w:themeFillTint="33"/>
          </w:tcPr>
          <w:p w14:paraId="71FBA3EB" w14:textId="77777777" w:rsidR="00B462F4" w:rsidRPr="009901EE" w:rsidRDefault="00B462F4" w:rsidP="009901EE">
            <w:pPr>
              <w:spacing w:before="120" w:after="120" w:line="276" w:lineRule="auto"/>
              <w:ind w:left="29" w:hanging="29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Data rilasc</w:t>
            </w:r>
            <w:r w:rsidR="00145A99" w:rsidRPr="009901EE">
              <w:rPr>
                <w:rFonts w:asciiTheme="majorHAnsi" w:hAnsiTheme="majorHAnsi" w:cstheme="majorHAnsi"/>
                <w:sz w:val="24"/>
                <w:szCs w:val="24"/>
              </w:rPr>
              <w:t>io Rapporto di audit</w:t>
            </w:r>
          </w:p>
        </w:tc>
        <w:tc>
          <w:tcPr>
            <w:tcW w:w="2750" w:type="pct"/>
          </w:tcPr>
          <w:p w14:paraId="5DCC5DF0" w14:textId="3233ED25" w:rsidR="00B462F4" w:rsidRPr="009901EE" w:rsidRDefault="000B2D89" w:rsidP="009901EE">
            <w:pPr>
              <w:spacing w:before="120" w:after="120" w:line="276" w:lineRule="auto"/>
              <w:ind w:hanging="29"/>
              <w:jc w:val="both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  <w:r w:rsidRPr="009901EE">
              <w:rPr>
                <w:rFonts w:asciiTheme="majorHAnsi" w:hAnsiTheme="majorHAnsi" w:cstheme="majorHAnsi"/>
                <w:sz w:val="24"/>
                <w:szCs w:val="24"/>
              </w:rPr>
              <w:t>…</w:t>
            </w:r>
          </w:p>
        </w:tc>
      </w:tr>
    </w:tbl>
    <w:p w14:paraId="2699F170" w14:textId="77777777" w:rsidR="00B462F4" w:rsidRPr="009901EE" w:rsidRDefault="00B462F4" w:rsidP="009901EE">
      <w:pPr>
        <w:tabs>
          <w:tab w:val="left" w:pos="567"/>
        </w:tabs>
        <w:spacing w:line="276" w:lineRule="auto"/>
        <w:ind w:firstLine="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B71D0A5" w14:textId="77777777" w:rsidR="000B2D89" w:rsidRPr="009901EE" w:rsidRDefault="000B2D89" w:rsidP="009901EE">
      <w:pPr>
        <w:spacing w:line="276" w:lineRule="auto"/>
        <w:ind w:firstLine="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C6945FF" w14:textId="77777777" w:rsidR="00C13F83" w:rsidRPr="009901EE" w:rsidRDefault="00C13F83" w:rsidP="009901EE">
      <w:pPr>
        <w:spacing w:line="276" w:lineRule="auto"/>
        <w:ind w:firstLine="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01EE">
        <w:rPr>
          <w:rFonts w:asciiTheme="majorHAnsi" w:hAnsiTheme="majorHAnsi" w:cstheme="majorHAnsi"/>
          <w:b/>
          <w:bCs/>
          <w:sz w:val="24"/>
          <w:szCs w:val="24"/>
        </w:rPr>
        <w:t>EXECUTIVE SUMMARY</w:t>
      </w:r>
    </w:p>
    <w:p w14:paraId="0DAF1963" w14:textId="77777777" w:rsidR="00C13F83" w:rsidRPr="009901EE" w:rsidRDefault="00C13F83" w:rsidP="009901EE">
      <w:pPr>
        <w:pStyle w:val="ListBullet1"/>
        <w:spacing w:line="276" w:lineRule="auto"/>
        <w:ind w:left="0" w:firstLine="426"/>
        <w:rPr>
          <w:rFonts w:asciiTheme="majorHAnsi" w:eastAsia="Calibri" w:hAnsiTheme="majorHAnsi" w:cstheme="majorHAnsi"/>
          <w:b/>
          <w:lang w:val="it-IT"/>
        </w:rPr>
      </w:pPr>
      <w:r w:rsidRPr="009901EE">
        <w:rPr>
          <w:rFonts w:asciiTheme="majorHAnsi" w:eastAsia="Calibri" w:hAnsiTheme="majorHAnsi" w:cstheme="majorHAnsi"/>
          <w:b/>
          <w:lang w:val="it-IT"/>
        </w:rPr>
        <w:t>Preambolo</w:t>
      </w:r>
      <w:r w:rsidR="005A658D" w:rsidRPr="009901EE">
        <w:rPr>
          <w:rFonts w:asciiTheme="majorHAnsi" w:eastAsia="Calibri" w:hAnsiTheme="majorHAnsi" w:cstheme="majorHAnsi"/>
          <w:b/>
          <w:lang w:val="it-IT"/>
        </w:rPr>
        <w:t>:</w:t>
      </w:r>
    </w:p>
    <w:p w14:paraId="116DA4F6" w14:textId="7A8C5D8A" w:rsidR="005A658D" w:rsidRPr="009901EE" w:rsidRDefault="00AB302B" w:rsidP="009901E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L’attività di audit realizzata dalla </w:t>
      </w:r>
      <w:r w:rsidR="00F56E44">
        <w:rPr>
          <w:rFonts w:asciiTheme="majorHAnsi" w:hAnsiTheme="majorHAnsi" w:cstheme="majorHAnsi"/>
          <w:color w:val="000000"/>
          <w:sz w:val="24"/>
          <w:szCs w:val="24"/>
        </w:rPr>
        <w:t>s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crivente Autorità ha riguardato l’analisi sulla presentazione annuale dei conti da parte dell’AdC per il </w:t>
      </w:r>
      <w:r w:rsidR="00664463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Programma Operativo I FEAD 2014-2020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>.</w:t>
      </w:r>
      <w:r w:rsidR="00000A97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Il periodo contabile di riferimento del present</w:t>
      </w:r>
      <w:r w:rsidR="00A149A1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e rapporto di audit </w:t>
      </w:r>
      <w:r w:rsidR="00664463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si riferisce al </w:t>
      </w:r>
      <w:r w:rsidR="00000A97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periodo </w:t>
      </w:r>
      <w:r w:rsidR="00DD6FDD" w:rsidRPr="009901EE">
        <w:rPr>
          <w:rFonts w:asciiTheme="majorHAnsi" w:hAnsiTheme="majorHAnsi" w:cstheme="majorHAnsi"/>
          <w:color w:val="000000"/>
          <w:sz w:val="24"/>
          <w:szCs w:val="24"/>
        </w:rPr>
        <w:t>fino</w:t>
      </w:r>
      <w:r w:rsidR="009E0522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al </w:t>
      </w:r>
      <w:r w:rsidR="000B2D89" w:rsidRPr="009901EE">
        <w:rPr>
          <w:rFonts w:asciiTheme="majorHAnsi" w:hAnsiTheme="majorHAnsi" w:cstheme="majorHAnsi"/>
          <w:color w:val="000000"/>
          <w:sz w:val="24"/>
          <w:szCs w:val="24"/>
        </w:rPr>
        <w:t>….</w:t>
      </w:r>
    </w:p>
    <w:p w14:paraId="365E3B79" w14:textId="4A490D13" w:rsidR="009E0522" w:rsidRPr="009901EE" w:rsidRDefault="009E0522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Si precisa che </w:t>
      </w:r>
      <w:r w:rsidR="000B2D89" w:rsidRPr="009901EE">
        <w:rPr>
          <w:rFonts w:asciiTheme="majorHAnsi" w:hAnsiTheme="majorHAnsi" w:cstheme="majorHAnsi"/>
          <w:sz w:val="24"/>
          <w:szCs w:val="24"/>
        </w:rPr>
        <w:t>….</w:t>
      </w:r>
      <w:r w:rsidRPr="009901EE">
        <w:rPr>
          <w:rFonts w:asciiTheme="majorHAnsi" w:hAnsiTheme="majorHAnsi" w:cstheme="majorHAnsi"/>
          <w:sz w:val="24"/>
          <w:szCs w:val="24"/>
        </w:rPr>
        <w:t>.</w:t>
      </w:r>
    </w:p>
    <w:p w14:paraId="581C5D15" w14:textId="77777777" w:rsidR="00C13F83" w:rsidRPr="009901EE" w:rsidRDefault="00C13F83" w:rsidP="009901EE">
      <w:pPr>
        <w:pStyle w:val="ListBullet1"/>
        <w:spacing w:line="276" w:lineRule="auto"/>
        <w:ind w:left="0" w:firstLine="426"/>
        <w:rPr>
          <w:rFonts w:asciiTheme="majorHAnsi" w:eastAsia="Calibri" w:hAnsiTheme="majorHAnsi" w:cstheme="majorHAnsi"/>
          <w:b/>
          <w:lang w:val="it-IT"/>
        </w:rPr>
      </w:pPr>
      <w:r w:rsidRPr="009901EE">
        <w:rPr>
          <w:rFonts w:asciiTheme="majorHAnsi" w:eastAsia="Calibri" w:hAnsiTheme="majorHAnsi" w:cstheme="majorHAnsi"/>
          <w:b/>
          <w:lang w:val="it-IT"/>
        </w:rPr>
        <w:t>Parere di audit</w:t>
      </w:r>
      <w:r w:rsidR="000A2412" w:rsidRPr="009901EE">
        <w:rPr>
          <w:rFonts w:asciiTheme="majorHAnsi" w:eastAsia="Calibri" w:hAnsiTheme="majorHAnsi" w:cstheme="majorHAnsi"/>
          <w:b/>
          <w:lang w:val="it-IT"/>
        </w:rPr>
        <w:t>:</w:t>
      </w:r>
    </w:p>
    <w:p w14:paraId="532BDD72" w14:textId="315897F4" w:rsidR="002A50C8" w:rsidRPr="009901EE" w:rsidRDefault="00803DFF" w:rsidP="009901E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La </w:t>
      </w:r>
      <w:r w:rsidR="00F56E44">
        <w:rPr>
          <w:rFonts w:asciiTheme="majorHAnsi" w:hAnsiTheme="majorHAnsi" w:cstheme="majorHAnsi"/>
          <w:color w:val="000000"/>
          <w:sz w:val="24"/>
          <w:szCs w:val="24"/>
        </w:rPr>
        <w:t>s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>crivente Autorità a valle delle attività di audit descritte nel presente rapporto ha ottenuto</w:t>
      </w:r>
      <w:r w:rsidR="000B2D89" w:rsidRPr="009901EE">
        <w:rPr>
          <w:rFonts w:asciiTheme="majorHAnsi" w:hAnsiTheme="majorHAnsi" w:cstheme="majorHAnsi"/>
          <w:color w:val="000000"/>
          <w:sz w:val="24"/>
          <w:szCs w:val="24"/>
        </w:rPr>
        <w:t>/non ha ottenuto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una concreta garanzia circa l’affidabilità, completezza, accuratezza e veridicità dei conti.</w:t>
      </w:r>
      <w:r w:rsidR="002A50C8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I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>l lavoro di audit eseguito permette di affermare che:</w:t>
      </w:r>
    </w:p>
    <w:p w14:paraId="54DB510E" w14:textId="204E5791" w:rsidR="0049066A" w:rsidRPr="009901EE" w:rsidRDefault="002A50C8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i</w:t>
      </w:r>
      <w:r w:rsidR="00803DFF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conti forniscono un quadro fedele e veritiero</w:t>
      </w:r>
      <w:r w:rsidR="00664463" w:rsidRPr="009901EE">
        <w:rPr>
          <w:rFonts w:asciiTheme="majorHAnsi" w:hAnsiTheme="majorHAnsi" w:cstheme="majorHAnsi"/>
          <w:color w:val="000000"/>
          <w:sz w:val="24"/>
          <w:szCs w:val="24"/>
        </w:rPr>
        <w:t>, come stabilito all'articolo 49</w:t>
      </w:r>
      <w:r w:rsidR="00803DFF" w:rsidRPr="009901EE">
        <w:rPr>
          <w:rFonts w:asciiTheme="majorHAnsi" w:hAnsiTheme="majorHAnsi" w:cstheme="majorHAnsi"/>
          <w:color w:val="000000"/>
          <w:sz w:val="24"/>
          <w:szCs w:val="24"/>
        </w:rPr>
        <w:t>, paragr</w:t>
      </w:r>
      <w:r w:rsidR="00664463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afo 1, del </w:t>
      </w:r>
      <w:r w:rsidR="00F56E44">
        <w:rPr>
          <w:rFonts w:asciiTheme="majorHAnsi" w:hAnsiTheme="majorHAnsi" w:cstheme="majorHAnsi"/>
          <w:color w:val="000000"/>
          <w:sz w:val="24"/>
          <w:szCs w:val="24"/>
        </w:rPr>
        <w:t>R</w:t>
      </w:r>
      <w:r w:rsidR="00664463" w:rsidRPr="009901EE">
        <w:rPr>
          <w:rFonts w:asciiTheme="majorHAnsi" w:hAnsiTheme="majorHAnsi" w:cstheme="majorHAnsi"/>
          <w:color w:val="000000"/>
          <w:sz w:val="24"/>
          <w:szCs w:val="24"/>
        </w:rPr>
        <w:t>egolamento (UE) n. 223</w:t>
      </w:r>
      <w:r w:rsidR="00803DFF" w:rsidRPr="009901EE">
        <w:rPr>
          <w:rFonts w:asciiTheme="majorHAnsi" w:hAnsiTheme="majorHAnsi" w:cstheme="majorHAnsi"/>
          <w:color w:val="000000"/>
          <w:sz w:val="24"/>
          <w:szCs w:val="24"/>
        </w:rPr>
        <w:t>/2014;</w:t>
      </w:r>
    </w:p>
    <w:p w14:paraId="7CC15C7A" w14:textId="77777777" w:rsidR="00803DFF" w:rsidRPr="009901EE" w:rsidRDefault="00803DFF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che le spese nei conti delle quali è stato chiesto il rimborso alla Commissione sono legittime e regolari.</w:t>
      </w:r>
    </w:p>
    <w:p w14:paraId="21059EB8" w14:textId="7A0D89E9" w:rsidR="009A57CB" w:rsidRPr="009901EE" w:rsidRDefault="00803DFF" w:rsidP="009901EE">
      <w:pPr>
        <w:pStyle w:val="ListBullet1"/>
        <w:spacing w:line="276" w:lineRule="auto"/>
        <w:ind w:left="0" w:firstLine="426"/>
        <w:rPr>
          <w:rFonts w:asciiTheme="majorHAnsi" w:eastAsia="Calibri" w:hAnsiTheme="majorHAnsi" w:cstheme="majorHAnsi"/>
          <w:lang w:val="it-IT"/>
        </w:rPr>
      </w:pPr>
      <w:r w:rsidRPr="009901EE">
        <w:rPr>
          <w:rFonts w:asciiTheme="majorHAnsi" w:eastAsia="Calibri" w:hAnsiTheme="majorHAnsi" w:cstheme="majorHAnsi"/>
          <w:lang w:val="it-IT"/>
        </w:rPr>
        <w:t xml:space="preserve">La scrivente Autorità nell’ambito delle attività di verifica realizzate per l’audit dei conti non </w:t>
      </w:r>
      <w:r w:rsidR="000B2D89" w:rsidRPr="009901EE">
        <w:rPr>
          <w:rFonts w:asciiTheme="majorHAnsi" w:eastAsia="Calibri" w:hAnsiTheme="majorHAnsi" w:cstheme="majorHAnsi"/>
          <w:lang w:val="it-IT"/>
        </w:rPr>
        <w:t>ha riscontrato errori sistemici /ha riscontrato errori sistemici, di seguito riportati….</w:t>
      </w:r>
    </w:p>
    <w:p w14:paraId="6FA6CFFC" w14:textId="77777777" w:rsidR="00C13F83" w:rsidRPr="009901EE" w:rsidRDefault="00C13F83" w:rsidP="009901EE">
      <w:pPr>
        <w:pStyle w:val="ListBullet1"/>
        <w:spacing w:line="276" w:lineRule="auto"/>
        <w:ind w:left="0" w:firstLine="426"/>
        <w:rPr>
          <w:rFonts w:asciiTheme="majorHAnsi" w:eastAsia="Calibri" w:hAnsiTheme="majorHAnsi" w:cstheme="majorHAnsi"/>
          <w:b/>
          <w:lang w:val="it-IT"/>
        </w:rPr>
      </w:pPr>
      <w:r w:rsidRPr="009901EE">
        <w:rPr>
          <w:rFonts w:asciiTheme="majorHAnsi" w:eastAsia="Calibri" w:hAnsiTheme="majorHAnsi" w:cstheme="majorHAnsi"/>
          <w:b/>
          <w:lang w:val="it-IT"/>
        </w:rPr>
        <w:t>Obiettivi</w:t>
      </w:r>
      <w:r w:rsidR="000A2412" w:rsidRPr="009901EE">
        <w:rPr>
          <w:rFonts w:asciiTheme="majorHAnsi" w:eastAsia="Calibri" w:hAnsiTheme="majorHAnsi" w:cstheme="majorHAnsi"/>
          <w:b/>
          <w:lang w:val="it-IT"/>
        </w:rPr>
        <w:t>:</w:t>
      </w:r>
    </w:p>
    <w:p w14:paraId="6D85D9E6" w14:textId="77777777" w:rsidR="0094081B" w:rsidRPr="009901EE" w:rsidRDefault="0094081B" w:rsidP="009901E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Le verifiche sui conti certificati dall’AdC hanno avuto lo scopo di accertare che tutti gli </w:t>
      </w:r>
      <w:r w:rsidR="00664463" w:rsidRPr="009901EE">
        <w:rPr>
          <w:rFonts w:asciiTheme="majorHAnsi" w:hAnsiTheme="majorHAnsi" w:cstheme="majorHAnsi"/>
          <w:color w:val="000000"/>
          <w:sz w:val="24"/>
          <w:szCs w:val="24"/>
        </w:rPr>
        <w:t>elementi richiesti dall’art. 49 del Reg. (UE) n. 223/2014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fossero correttamente inclusi nei conti e che fossero supportati da documenti sottostanti in possesso delle Autorità competenti</w:t>
      </w:r>
      <w:r w:rsidR="00664463" w:rsidRPr="009901EE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4305475D" w14:textId="77777777" w:rsidR="00C13F83" w:rsidRPr="009901EE" w:rsidRDefault="00C13F83" w:rsidP="009901EE">
      <w:pPr>
        <w:pStyle w:val="ListBullet1"/>
        <w:spacing w:line="276" w:lineRule="auto"/>
        <w:ind w:left="0" w:firstLine="426"/>
        <w:rPr>
          <w:rFonts w:asciiTheme="majorHAnsi" w:eastAsia="Calibri" w:hAnsiTheme="majorHAnsi" w:cstheme="majorHAnsi"/>
          <w:b/>
          <w:lang w:val="it-IT"/>
        </w:rPr>
      </w:pPr>
      <w:r w:rsidRPr="009901EE">
        <w:rPr>
          <w:rFonts w:asciiTheme="majorHAnsi" w:eastAsia="Calibri" w:hAnsiTheme="majorHAnsi" w:cstheme="majorHAnsi"/>
          <w:b/>
          <w:lang w:val="it-IT"/>
        </w:rPr>
        <w:t>Principali accertamenti</w:t>
      </w:r>
    </w:p>
    <w:p w14:paraId="3C8F8989" w14:textId="77777777" w:rsidR="005D6C25" w:rsidRPr="009901EE" w:rsidRDefault="005D6C25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Le verifiche effettuate dall’AdA sui conti predisposti dall’AdC hanno riguardato principalmente i seguenti aspetti:</w:t>
      </w:r>
    </w:p>
    <w:p w14:paraId="699C22EF" w14:textId="77777777" w:rsidR="005D6C25" w:rsidRPr="009901EE" w:rsidRDefault="005D6C25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il rispetto della tempistica definita per la predisposizione e trasmissione dei conti all’AdA, allo scopo di garantire la sua presentazione alla Commissione entro il 15 febbraio dell’esercizio successivo;</w:t>
      </w:r>
    </w:p>
    <w:p w14:paraId="25F526AF" w14:textId="77777777" w:rsidR="00AA5B02" w:rsidRPr="009901EE" w:rsidRDefault="00AA5B02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il livello di corretta, completezza ed esattezza dei dati indicati all’interno dei conti;</w:t>
      </w:r>
    </w:p>
    <w:p w14:paraId="48D9C4B7" w14:textId="77777777" w:rsidR="00AA5B02" w:rsidRPr="009901EE" w:rsidRDefault="00AA5B02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lastRenderedPageBreak/>
        <w:t xml:space="preserve">che le spesa nei conti per i quali è stato chiesto il rimborso alla Commissione Europea sono state effettuate per le finalità previste </w:t>
      </w:r>
    </w:p>
    <w:p w14:paraId="655C82B6" w14:textId="2132B915" w:rsidR="005D6C25" w:rsidRPr="009901EE" w:rsidRDefault="005D6C25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la corretta predisposizione dei conti secondo il</w:t>
      </w:r>
      <w:r w:rsidR="004F7DBF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modello di cui all'allegato V del Reg. di esecuzione (UE) </w:t>
      </w:r>
      <w:r w:rsidR="00D41F80">
        <w:rPr>
          <w:rFonts w:asciiTheme="majorHAnsi" w:hAnsiTheme="majorHAnsi" w:cstheme="majorHAnsi"/>
          <w:color w:val="000000"/>
          <w:sz w:val="24"/>
          <w:szCs w:val="24"/>
        </w:rPr>
        <w:t xml:space="preserve">n. </w:t>
      </w:r>
      <w:r w:rsidR="004F7DBF" w:rsidRPr="009901EE">
        <w:rPr>
          <w:rFonts w:asciiTheme="majorHAnsi" w:hAnsiTheme="majorHAnsi" w:cstheme="majorHAnsi"/>
          <w:color w:val="000000"/>
          <w:sz w:val="24"/>
          <w:szCs w:val="24"/>
        </w:rPr>
        <w:t>341/2015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>;</w:t>
      </w:r>
    </w:p>
    <w:p w14:paraId="290F5EFA" w14:textId="77777777" w:rsidR="005D6C25" w:rsidRPr="009901EE" w:rsidRDefault="005D6C25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l’adeguata conservazione dei documenti sottostanti la predisposizione dei conti;</w:t>
      </w:r>
    </w:p>
    <w:p w14:paraId="4DBB7503" w14:textId="5861E616" w:rsidR="005D6C25" w:rsidRPr="009901EE" w:rsidRDefault="005D6C25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la corrispondenza tra l'importo totale delle spese ammissibili registrato dall'autorità di certificazione nei propri sistemi cont</w:t>
      </w:r>
      <w:r w:rsidR="004F7DBF" w:rsidRPr="009901EE">
        <w:rPr>
          <w:rFonts w:asciiTheme="majorHAnsi" w:hAnsiTheme="majorHAnsi" w:cstheme="majorHAnsi"/>
          <w:color w:val="000000"/>
          <w:sz w:val="24"/>
          <w:szCs w:val="24"/>
        </w:rPr>
        <w:t>abili (a norma dell'articolo 49, paragrafo 1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, lettera a), del </w:t>
      </w:r>
      <w:r w:rsidR="00D41F80">
        <w:rPr>
          <w:rFonts w:asciiTheme="majorHAnsi" w:hAnsiTheme="majorHAnsi" w:cstheme="majorHAnsi"/>
          <w:color w:val="000000"/>
          <w:sz w:val="24"/>
          <w:szCs w:val="24"/>
        </w:rPr>
        <w:t>r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egolamento (UE) n. </w:t>
      </w:r>
      <w:r w:rsidR="004F7DBF" w:rsidRPr="009901EE">
        <w:rPr>
          <w:rFonts w:asciiTheme="majorHAnsi" w:hAnsiTheme="majorHAnsi" w:cstheme="majorHAnsi"/>
          <w:color w:val="000000"/>
          <w:sz w:val="24"/>
          <w:szCs w:val="24"/>
        </w:rPr>
        <w:t>223/2014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>) e le spese e il relativo contributo pubblico che configurano all'interno delle domande di pagamento presentate alla Commissione, entro il 31 luglio successivo alla fine del periodo contabile;</w:t>
      </w:r>
    </w:p>
    <w:p w14:paraId="2B84C5EA" w14:textId="10677798" w:rsidR="005D6C25" w:rsidRPr="009901EE" w:rsidRDefault="005D6C25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la corrispondenza tra gli importi ritirati, recuperati, da recuperare, non recuperabili e i recuperi effettuati, riportati </w:t>
      </w:r>
      <w:r w:rsidR="004F7DBF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nei conti; (a norma dell'articolo 49, paragrafo 1, lettera b), del </w:t>
      </w:r>
      <w:r w:rsidR="00D41F80">
        <w:rPr>
          <w:rFonts w:asciiTheme="majorHAnsi" w:hAnsiTheme="majorHAnsi" w:cstheme="majorHAnsi"/>
          <w:color w:val="000000"/>
          <w:sz w:val="24"/>
          <w:szCs w:val="24"/>
        </w:rPr>
        <w:t>R</w:t>
      </w:r>
      <w:r w:rsidR="004F7DBF" w:rsidRPr="009901EE">
        <w:rPr>
          <w:rFonts w:asciiTheme="majorHAnsi" w:hAnsiTheme="majorHAnsi" w:cstheme="majorHAnsi"/>
          <w:color w:val="000000"/>
          <w:sz w:val="24"/>
          <w:szCs w:val="24"/>
        </w:rPr>
        <w:t>egolamento (UE) n. 223/2014</w:t>
      </w:r>
    </w:p>
    <w:p w14:paraId="1FA962F9" w14:textId="77777777" w:rsidR="005D6C25" w:rsidRPr="009901EE" w:rsidRDefault="005D6C25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l’accuratezza e la veridicità dei dati contenuti nei conti;</w:t>
      </w:r>
    </w:p>
    <w:p w14:paraId="4046B071" w14:textId="45E2534D" w:rsidR="008C7513" w:rsidRPr="009901EE" w:rsidRDefault="005D6C25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l’eventuale esclusione di alcune spese dai conti, previamente incluse in una domanda di pagamento intermedi</w:t>
      </w:r>
      <w:r w:rsidR="008C7513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o e le relative motivazioni (a norma dell'articolo 49, paragrafo 2), del </w:t>
      </w:r>
      <w:r w:rsidR="00D41F80">
        <w:rPr>
          <w:rFonts w:asciiTheme="majorHAnsi" w:hAnsiTheme="majorHAnsi" w:cstheme="majorHAnsi"/>
          <w:color w:val="000000"/>
          <w:sz w:val="24"/>
          <w:szCs w:val="24"/>
        </w:rPr>
        <w:t>r</w:t>
      </w:r>
      <w:r w:rsidR="008C7513" w:rsidRPr="009901EE">
        <w:rPr>
          <w:rFonts w:asciiTheme="majorHAnsi" w:hAnsiTheme="majorHAnsi" w:cstheme="majorHAnsi"/>
          <w:color w:val="000000"/>
          <w:sz w:val="24"/>
          <w:szCs w:val="24"/>
        </w:rPr>
        <w:t>egolamento (UE) n. 223/2014</w:t>
      </w:r>
      <w:r w:rsidR="00E72031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1CD43D29" w14:textId="77777777" w:rsidR="008F4C97" w:rsidRPr="009901EE" w:rsidRDefault="008F4C97" w:rsidP="009901EE">
      <w:pPr>
        <w:spacing w:line="276" w:lineRule="auto"/>
        <w:ind w:firstLine="426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it-IT"/>
        </w:rPr>
      </w:pPr>
    </w:p>
    <w:p w14:paraId="153B0ABD" w14:textId="77777777" w:rsidR="00B462F4" w:rsidRPr="006E0AC7" w:rsidRDefault="00B462F4" w:rsidP="007F6D93">
      <w:pPr>
        <w:pStyle w:val="Titolo1"/>
        <w:numPr>
          <w:ilvl w:val="0"/>
          <w:numId w:val="2"/>
        </w:numPr>
        <w:ind w:left="284"/>
        <w:rPr>
          <w:rFonts w:asciiTheme="minorHAnsi" w:eastAsia="Times New Roman" w:hAnsiTheme="minorHAnsi" w:cstheme="minorHAnsi"/>
          <w:b/>
          <w:caps/>
          <w:color w:val="002060"/>
          <w:sz w:val="22"/>
          <w:szCs w:val="22"/>
        </w:rPr>
      </w:pPr>
      <w:bookmarkStart w:id="0" w:name="_Toc91062808"/>
      <w:r w:rsidRPr="006E0AC7">
        <w:rPr>
          <w:rFonts w:asciiTheme="minorHAnsi" w:eastAsia="Times New Roman" w:hAnsiTheme="minorHAnsi" w:cstheme="minorHAnsi"/>
          <w:b/>
          <w:caps/>
          <w:color w:val="002060"/>
          <w:sz w:val="22"/>
          <w:szCs w:val="22"/>
        </w:rPr>
        <w:t>Quadro normativo di riferimento</w:t>
      </w:r>
      <w:bookmarkEnd w:id="0"/>
    </w:p>
    <w:p w14:paraId="1517BB05" w14:textId="3FEDB8DC" w:rsidR="00E818B1" w:rsidRPr="00F82FD1" w:rsidRDefault="00F82FD1" w:rsidP="009901EE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  <w:r w:rsidRPr="00F82FD1"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  <w:t>Regolamenti UE</w:t>
      </w:r>
    </w:p>
    <w:p w14:paraId="4A6E77CC" w14:textId="202367EE" w:rsidR="00A20FB9" w:rsidRPr="00F82FD1" w:rsidRDefault="00A20FB9" w:rsidP="007F6D93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F82FD1">
        <w:rPr>
          <w:rFonts w:asciiTheme="majorHAnsi" w:hAnsiTheme="majorHAnsi" w:cstheme="majorHAnsi"/>
          <w:sz w:val="24"/>
          <w:szCs w:val="24"/>
        </w:rPr>
        <w:t>R</w:t>
      </w:r>
      <w:r w:rsidR="00D41F80" w:rsidRPr="00F82FD1">
        <w:rPr>
          <w:rFonts w:asciiTheme="majorHAnsi" w:hAnsiTheme="majorHAnsi" w:cstheme="majorHAnsi"/>
          <w:sz w:val="24"/>
          <w:szCs w:val="24"/>
        </w:rPr>
        <w:t>EGOLAMENTO</w:t>
      </w:r>
      <w:r w:rsidRPr="00F82FD1">
        <w:rPr>
          <w:rFonts w:asciiTheme="majorHAnsi" w:hAnsiTheme="majorHAnsi" w:cstheme="majorHAnsi"/>
          <w:sz w:val="24"/>
          <w:szCs w:val="24"/>
        </w:rPr>
        <w:t xml:space="preserve"> (UE) </w:t>
      </w:r>
      <w:r w:rsidR="00D41F80" w:rsidRPr="00F82FD1">
        <w:rPr>
          <w:rFonts w:asciiTheme="majorHAnsi" w:hAnsiTheme="majorHAnsi" w:cstheme="majorHAnsi"/>
          <w:sz w:val="24"/>
          <w:szCs w:val="24"/>
        </w:rPr>
        <w:t>n</w:t>
      </w:r>
      <w:r w:rsidRPr="00F82FD1">
        <w:rPr>
          <w:rFonts w:asciiTheme="majorHAnsi" w:hAnsiTheme="majorHAnsi" w:cstheme="majorHAnsi"/>
          <w:sz w:val="24"/>
          <w:szCs w:val="24"/>
        </w:rPr>
        <w:t xml:space="preserve">. 223/2014 dell'11 marzo 2014 </w:t>
      </w:r>
      <w:r w:rsidR="00F82FD1" w:rsidRPr="00F82FD1">
        <w:rPr>
          <w:rFonts w:ascii="Calibri" w:hAnsi="Calibri" w:cs="Calibri"/>
        </w:rPr>
        <w:t xml:space="preserve">modificato dal Regolamento (UE, EURATOM) </w:t>
      </w:r>
      <w:r w:rsidR="00F82FD1">
        <w:rPr>
          <w:rFonts w:ascii="Calibri" w:hAnsi="Calibri" w:cs="Calibri"/>
        </w:rPr>
        <w:t>n.</w:t>
      </w:r>
      <w:r w:rsidR="00F82FD1" w:rsidRPr="00F82FD1">
        <w:rPr>
          <w:rFonts w:ascii="Calibri" w:hAnsi="Calibri" w:cs="Calibri"/>
        </w:rPr>
        <w:t>1046</w:t>
      </w:r>
      <w:r w:rsidR="00F82FD1">
        <w:rPr>
          <w:rFonts w:ascii="Calibri" w:hAnsi="Calibri" w:cs="Calibri"/>
        </w:rPr>
        <w:t>/2018</w:t>
      </w:r>
      <w:r w:rsidR="00F82FD1" w:rsidRPr="00F82FD1">
        <w:rPr>
          <w:rFonts w:ascii="Calibri" w:hAnsi="Calibri" w:cs="Calibri"/>
        </w:rPr>
        <w:t xml:space="preserve"> relativo al Fondo di aiuti europei agli indigenti;</w:t>
      </w:r>
    </w:p>
    <w:p w14:paraId="7EDCA46F" w14:textId="15C53954" w:rsidR="00F82FD1" w:rsidRDefault="00F82FD1" w:rsidP="007F6D93">
      <w:pPr>
        <w:widowControl w:val="0"/>
        <w:numPr>
          <w:ilvl w:val="0"/>
          <w:numId w:val="12"/>
        </w:numPr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82FD1">
        <w:rPr>
          <w:rFonts w:asciiTheme="majorHAnsi" w:hAnsiTheme="majorHAnsi" w:cstheme="majorHAnsi"/>
          <w:sz w:val="24"/>
          <w:szCs w:val="24"/>
        </w:rPr>
        <w:t xml:space="preserve">REGOLAMENTO (UE) </w:t>
      </w:r>
      <w:r>
        <w:rPr>
          <w:rFonts w:asciiTheme="majorHAnsi" w:hAnsiTheme="majorHAnsi" w:cstheme="majorHAnsi"/>
          <w:sz w:val="24"/>
          <w:szCs w:val="24"/>
        </w:rPr>
        <w:t>n.</w:t>
      </w:r>
      <w:r w:rsidRPr="00F82FD1">
        <w:rPr>
          <w:rFonts w:asciiTheme="majorHAnsi" w:hAnsiTheme="majorHAnsi" w:cstheme="majorHAnsi"/>
          <w:sz w:val="24"/>
          <w:szCs w:val="24"/>
        </w:rPr>
        <w:t>559</w:t>
      </w:r>
      <w:r>
        <w:rPr>
          <w:rFonts w:asciiTheme="majorHAnsi" w:hAnsiTheme="majorHAnsi" w:cstheme="majorHAnsi"/>
          <w:sz w:val="24"/>
          <w:szCs w:val="24"/>
        </w:rPr>
        <w:t>/2020</w:t>
      </w:r>
      <w:r w:rsidRPr="00F82FD1">
        <w:rPr>
          <w:rFonts w:asciiTheme="majorHAnsi" w:hAnsiTheme="majorHAnsi" w:cstheme="majorHAnsi"/>
          <w:sz w:val="24"/>
          <w:szCs w:val="24"/>
        </w:rPr>
        <w:t xml:space="preserve"> DEL PARLAMENTO EUROPEO E DEL CONSIGLIO del 23 aprile 2020 che modifica il </w:t>
      </w:r>
      <w:r>
        <w:rPr>
          <w:rFonts w:asciiTheme="majorHAnsi" w:hAnsiTheme="majorHAnsi" w:cstheme="majorHAnsi"/>
          <w:sz w:val="24"/>
          <w:szCs w:val="24"/>
        </w:rPr>
        <w:t>R</w:t>
      </w:r>
      <w:r w:rsidRPr="00F82FD1">
        <w:rPr>
          <w:rFonts w:asciiTheme="majorHAnsi" w:hAnsiTheme="majorHAnsi" w:cstheme="majorHAnsi"/>
          <w:sz w:val="24"/>
          <w:szCs w:val="24"/>
        </w:rPr>
        <w:t>egolamento (UE) n. 223/2014 per quanto riguarda l’introduzione di misure specifiche volte ad affrontare l’epidemia di COVID-1</w:t>
      </w:r>
      <w:r>
        <w:rPr>
          <w:rFonts w:asciiTheme="majorHAnsi" w:hAnsiTheme="majorHAnsi" w:cstheme="majorHAnsi"/>
          <w:sz w:val="24"/>
          <w:szCs w:val="24"/>
        </w:rPr>
        <w:t>9;</w:t>
      </w:r>
    </w:p>
    <w:p w14:paraId="32F6CF62" w14:textId="17462148" w:rsidR="00A20FB9" w:rsidRPr="00F82FD1" w:rsidRDefault="00A20FB9" w:rsidP="007F6D93">
      <w:pPr>
        <w:pStyle w:val="Paragrafoelenco"/>
        <w:widowControl w:val="0"/>
        <w:numPr>
          <w:ilvl w:val="0"/>
          <w:numId w:val="1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F82FD1">
        <w:rPr>
          <w:rFonts w:asciiTheme="majorHAnsi" w:hAnsiTheme="majorHAnsi" w:cstheme="majorHAnsi"/>
          <w:sz w:val="24"/>
          <w:szCs w:val="24"/>
        </w:rPr>
        <w:t>R</w:t>
      </w:r>
      <w:r w:rsidR="00D41F80" w:rsidRPr="00F82FD1">
        <w:rPr>
          <w:rFonts w:asciiTheme="majorHAnsi" w:hAnsiTheme="majorHAnsi" w:cstheme="majorHAnsi"/>
          <w:sz w:val="24"/>
          <w:szCs w:val="24"/>
        </w:rPr>
        <w:t>EGOLAMENTO</w:t>
      </w:r>
      <w:r w:rsidRPr="00F82FD1">
        <w:rPr>
          <w:rFonts w:asciiTheme="majorHAnsi" w:hAnsiTheme="majorHAnsi" w:cstheme="majorHAnsi"/>
          <w:sz w:val="24"/>
          <w:szCs w:val="24"/>
        </w:rPr>
        <w:t xml:space="preserve"> (UE) </w:t>
      </w:r>
      <w:r w:rsidR="00D41F80" w:rsidRPr="00F82FD1">
        <w:rPr>
          <w:rFonts w:asciiTheme="majorHAnsi" w:hAnsiTheme="majorHAnsi" w:cstheme="majorHAnsi"/>
          <w:sz w:val="24"/>
          <w:szCs w:val="24"/>
        </w:rPr>
        <w:t>n</w:t>
      </w:r>
      <w:r w:rsidRPr="00F82FD1">
        <w:rPr>
          <w:rFonts w:asciiTheme="majorHAnsi" w:hAnsiTheme="majorHAnsi" w:cstheme="majorHAnsi"/>
          <w:sz w:val="24"/>
          <w:szCs w:val="24"/>
        </w:rPr>
        <w:t xml:space="preserve">. 463/2014 di ESECUZIONE del 5 maggio 2014 che stabilisce, conformemente al </w:t>
      </w:r>
      <w:r w:rsidR="00D41F80" w:rsidRPr="00F82FD1">
        <w:rPr>
          <w:rFonts w:asciiTheme="majorHAnsi" w:hAnsiTheme="majorHAnsi" w:cstheme="majorHAnsi"/>
          <w:sz w:val="24"/>
          <w:szCs w:val="24"/>
        </w:rPr>
        <w:t>R</w:t>
      </w:r>
      <w:r w:rsidRPr="00F82FD1">
        <w:rPr>
          <w:rFonts w:asciiTheme="majorHAnsi" w:hAnsiTheme="majorHAnsi" w:cstheme="majorHAnsi"/>
          <w:sz w:val="24"/>
          <w:szCs w:val="24"/>
        </w:rPr>
        <w:t>egolamento (UE) n. 223/2014 del Parlamento europeo e del Consiglio relativo al Fondo di aiuti europei agli indigenti, i termini e le condizioni applicabili al sistema di scambio elettronico di dati fra gli Stati membri e la Commissione</w:t>
      </w:r>
    </w:p>
    <w:p w14:paraId="33302DD5" w14:textId="5B39E1FC" w:rsidR="00A20FB9" w:rsidRPr="00F82FD1" w:rsidRDefault="00A20FB9" w:rsidP="007F6D93">
      <w:pPr>
        <w:pStyle w:val="Paragrafoelenco"/>
        <w:widowControl w:val="0"/>
        <w:numPr>
          <w:ilvl w:val="0"/>
          <w:numId w:val="15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F82FD1">
        <w:rPr>
          <w:rFonts w:asciiTheme="majorHAnsi" w:hAnsiTheme="majorHAnsi" w:cstheme="majorHAnsi"/>
          <w:sz w:val="24"/>
          <w:szCs w:val="24"/>
        </w:rPr>
        <w:t>REGOLAMENTO (UE) N. 532/2014 DELEG</w:t>
      </w:r>
      <w:r w:rsidR="000B2D89" w:rsidRPr="00F82FD1">
        <w:rPr>
          <w:rFonts w:asciiTheme="majorHAnsi" w:hAnsiTheme="majorHAnsi" w:cstheme="majorHAnsi"/>
          <w:sz w:val="24"/>
          <w:szCs w:val="24"/>
        </w:rPr>
        <w:t>A</w:t>
      </w:r>
      <w:r w:rsidRPr="00F82FD1">
        <w:rPr>
          <w:rFonts w:asciiTheme="majorHAnsi" w:hAnsiTheme="majorHAnsi" w:cstheme="majorHAnsi"/>
          <w:sz w:val="24"/>
          <w:szCs w:val="24"/>
        </w:rPr>
        <w:t>TO del 13 marzo 2014</w:t>
      </w:r>
      <w:r w:rsidR="00F82FD1" w:rsidRPr="00F82FD1">
        <w:rPr>
          <w:rFonts w:asciiTheme="majorHAnsi" w:hAnsiTheme="majorHAnsi" w:cstheme="majorHAnsi"/>
          <w:sz w:val="24"/>
          <w:szCs w:val="24"/>
        </w:rPr>
        <w:t xml:space="preserve"> </w:t>
      </w:r>
      <w:r w:rsidRPr="00F82FD1">
        <w:rPr>
          <w:rFonts w:asciiTheme="majorHAnsi" w:hAnsiTheme="majorHAnsi" w:cstheme="majorHAnsi"/>
          <w:sz w:val="24"/>
          <w:szCs w:val="24"/>
        </w:rPr>
        <w:t xml:space="preserve">che integra il </w:t>
      </w:r>
      <w:r w:rsidR="00D41F80" w:rsidRPr="00F82FD1">
        <w:rPr>
          <w:rFonts w:asciiTheme="majorHAnsi" w:hAnsiTheme="majorHAnsi" w:cstheme="majorHAnsi"/>
          <w:sz w:val="24"/>
          <w:szCs w:val="24"/>
        </w:rPr>
        <w:t>R</w:t>
      </w:r>
      <w:r w:rsidRPr="00F82FD1">
        <w:rPr>
          <w:rFonts w:asciiTheme="majorHAnsi" w:hAnsiTheme="majorHAnsi" w:cstheme="majorHAnsi"/>
          <w:sz w:val="24"/>
          <w:szCs w:val="24"/>
        </w:rPr>
        <w:t>egolamento (UE) n. 223/2014 del Parlamento</w:t>
      </w:r>
      <w:r w:rsidR="00F82FD1" w:rsidRPr="00F82FD1">
        <w:rPr>
          <w:rFonts w:asciiTheme="majorHAnsi" w:hAnsiTheme="majorHAnsi" w:cstheme="majorHAnsi"/>
          <w:sz w:val="24"/>
          <w:szCs w:val="24"/>
        </w:rPr>
        <w:t xml:space="preserve"> </w:t>
      </w:r>
      <w:r w:rsidRPr="00F82FD1">
        <w:rPr>
          <w:rFonts w:asciiTheme="majorHAnsi" w:hAnsiTheme="majorHAnsi" w:cstheme="majorHAnsi"/>
          <w:sz w:val="24"/>
          <w:szCs w:val="24"/>
        </w:rPr>
        <w:t>europeo e del Consiglio relativo al Fondo di aiuti europei agli indigenti</w:t>
      </w:r>
      <w:r w:rsidR="00F82FD1" w:rsidRPr="00F82FD1">
        <w:rPr>
          <w:rFonts w:asciiTheme="majorHAnsi" w:hAnsiTheme="majorHAnsi" w:cstheme="majorHAnsi"/>
          <w:sz w:val="24"/>
          <w:szCs w:val="24"/>
        </w:rPr>
        <w:t>;</w:t>
      </w:r>
    </w:p>
    <w:p w14:paraId="71B1FDE5" w14:textId="4F7BFA4D" w:rsidR="00A20FB9" w:rsidRPr="00F82FD1" w:rsidRDefault="00A20FB9" w:rsidP="007F6D93">
      <w:pPr>
        <w:pStyle w:val="Paragrafoelenco"/>
        <w:widowControl w:val="0"/>
        <w:numPr>
          <w:ilvl w:val="0"/>
          <w:numId w:val="16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F82FD1">
        <w:rPr>
          <w:rFonts w:asciiTheme="majorHAnsi" w:hAnsiTheme="majorHAnsi" w:cstheme="majorHAnsi"/>
          <w:sz w:val="24"/>
          <w:szCs w:val="24"/>
        </w:rPr>
        <w:lastRenderedPageBreak/>
        <w:t xml:space="preserve">REGOLAMENTO (UE) N. 1255/2014 DELEGATO del 17 luglio2014 che integra il </w:t>
      </w:r>
      <w:r w:rsidR="00D41F80" w:rsidRPr="00F82FD1">
        <w:rPr>
          <w:rFonts w:asciiTheme="majorHAnsi" w:hAnsiTheme="majorHAnsi" w:cstheme="majorHAnsi"/>
          <w:sz w:val="24"/>
          <w:szCs w:val="24"/>
        </w:rPr>
        <w:t>R</w:t>
      </w:r>
      <w:r w:rsidRPr="00F82FD1">
        <w:rPr>
          <w:rFonts w:asciiTheme="majorHAnsi" w:hAnsiTheme="majorHAnsi" w:cstheme="majorHAnsi"/>
          <w:sz w:val="24"/>
          <w:szCs w:val="24"/>
        </w:rPr>
        <w:t>egolamento (UE) n. 223/2014 del Parlamento europeo e del Consiglio relativo al Fondo di aiuti europei agli indigenti con riguardo al contenuto delle relazioni di attuazione annuali e finali, compreso l'elenco degli indicatori comun</w:t>
      </w:r>
      <w:r w:rsidR="005C5EAD">
        <w:rPr>
          <w:rFonts w:asciiTheme="majorHAnsi" w:hAnsiTheme="majorHAnsi" w:cstheme="majorHAnsi"/>
          <w:sz w:val="24"/>
          <w:szCs w:val="24"/>
        </w:rPr>
        <w:t>i;</w:t>
      </w:r>
    </w:p>
    <w:p w14:paraId="719E7DA4" w14:textId="011EDB01" w:rsidR="00A20FB9" w:rsidRPr="005C5EAD" w:rsidRDefault="00A20FB9" w:rsidP="007F6D93">
      <w:pPr>
        <w:pStyle w:val="Paragrafoelenco"/>
        <w:widowControl w:val="0"/>
        <w:numPr>
          <w:ilvl w:val="0"/>
          <w:numId w:val="17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 xml:space="preserve">REGOLAMENTO (UE) </w:t>
      </w:r>
      <w:r w:rsidR="005C5EAD">
        <w:rPr>
          <w:rFonts w:asciiTheme="majorHAnsi" w:hAnsiTheme="majorHAnsi" w:cstheme="majorHAnsi"/>
          <w:sz w:val="24"/>
          <w:szCs w:val="24"/>
        </w:rPr>
        <w:t>n.</w:t>
      </w:r>
      <w:r w:rsidRPr="005C5EAD">
        <w:rPr>
          <w:rFonts w:asciiTheme="majorHAnsi" w:hAnsiTheme="majorHAnsi" w:cstheme="majorHAnsi"/>
          <w:sz w:val="24"/>
          <w:szCs w:val="24"/>
        </w:rPr>
        <w:t>212</w:t>
      </w:r>
      <w:r w:rsidR="005C5EAD">
        <w:rPr>
          <w:rFonts w:asciiTheme="majorHAnsi" w:hAnsiTheme="majorHAnsi" w:cstheme="majorHAnsi"/>
          <w:sz w:val="24"/>
          <w:szCs w:val="24"/>
        </w:rPr>
        <w:t>/2015</w:t>
      </w:r>
      <w:r w:rsidRPr="005C5EAD">
        <w:rPr>
          <w:rFonts w:asciiTheme="majorHAnsi" w:hAnsiTheme="majorHAnsi" w:cstheme="majorHAnsi"/>
          <w:sz w:val="24"/>
          <w:szCs w:val="24"/>
        </w:rPr>
        <w:t xml:space="preserve"> DI ESECUZIONE dell'11 febbraio 2015 che fissa le modalità di applicazione del </w:t>
      </w:r>
      <w:r w:rsidR="00D41F80" w:rsidRPr="005C5EAD">
        <w:rPr>
          <w:rFonts w:asciiTheme="majorHAnsi" w:hAnsiTheme="majorHAnsi" w:cstheme="majorHAnsi"/>
          <w:sz w:val="24"/>
          <w:szCs w:val="24"/>
        </w:rPr>
        <w:t>R</w:t>
      </w:r>
      <w:r w:rsidRPr="005C5EAD">
        <w:rPr>
          <w:rFonts w:asciiTheme="majorHAnsi" w:hAnsiTheme="majorHAnsi" w:cstheme="majorHAnsi"/>
          <w:sz w:val="24"/>
          <w:szCs w:val="24"/>
        </w:rPr>
        <w:t>egolamento (UE) n. 223/2014 del Parlamento europeo e del Consiglio per quanto riguarda le specifiche tecniche del sistema di registrazione e conservazione dei dati relativi a ciascuna operazione, necessari per la sorveglianza, la valutazione, la gestione finanziaria, la verifica e l'audit, compresi i dati sui singoli partecipanti alle operazioni cofinanziate dal</w:t>
      </w:r>
      <w:r w:rsidR="005C5EAD">
        <w:rPr>
          <w:rFonts w:asciiTheme="majorHAnsi" w:hAnsiTheme="majorHAnsi" w:cstheme="majorHAnsi"/>
          <w:sz w:val="24"/>
          <w:szCs w:val="24"/>
        </w:rPr>
        <w:t xml:space="preserve"> Programma;</w:t>
      </w:r>
    </w:p>
    <w:p w14:paraId="0595FF68" w14:textId="2D5210CD" w:rsidR="00A20FB9" w:rsidRPr="005C5EAD" w:rsidRDefault="00A20FB9" w:rsidP="007F6D93">
      <w:pPr>
        <w:pStyle w:val="Paragrafoelenco"/>
        <w:widowControl w:val="0"/>
        <w:numPr>
          <w:ilvl w:val="0"/>
          <w:numId w:val="18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 xml:space="preserve">REGOLAMENTO DI ESECUZIONE (UE) </w:t>
      </w:r>
      <w:r w:rsidR="00D41F80" w:rsidRPr="005C5EAD">
        <w:rPr>
          <w:rFonts w:asciiTheme="majorHAnsi" w:hAnsiTheme="majorHAnsi" w:cstheme="majorHAnsi"/>
          <w:sz w:val="24"/>
          <w:szCs w:val="24"/>
        </w:rPr>
        <w:t>n.341/</w:t>
      </w:r>
      <w:r w:rsidRPr="005C5EAD">
        <w:rPr>
          <w:rFonts w:asciiTheme="majorHAnsi" w:hAnsiTheme="majorHAnsi" w:cstheme="majorHAnsi"/>
          <w:sz w:val="24"/>
          <w:szCs w:val="24"/>
        </w:rPr>
        <w:t>2015 DELLA COMMISSIONE del 20 febbraio 2015 recante modalità di esecuzione del regolamento (UE) n. 223/2014 del Parlamento europeo e del Consiglio per quanto riguarda i modelli per la presentazione di determinate informazioni alla Commissione</w:t>
      </w:r>
      <w:r w:rsidR="005C5EAD">
        <w:rPr>
          <w:rFonts w:asciiTheme="majorHAnsi" w:hAnsiTheme="majorHAnsi" w:cstheme="majorHAnsi"/>
          <w:sz w:val="24"/>
          <w:szCs w:val="24"/>
        </w:rPr>
        <w:t>;</w:t>
      </w:r>
    </w:p>
    <w:p w14:paraId="06DFA14D" w14:textId="6DE65DCE" w:rsidR="00A20FB9" w:rsidRPr="005C5EAD" w:rsidRDefault="00A20FB9" w:rsidP="007F6D93">
      <w:pPr>
        <w:pStyle w:val="Paragrafoelenco"/>
        <w:widowControl w:val="0"/>
        <w:numPr>
          <w:ilvl w:val="0"/>
          <w:numId w:val="19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>REGOLAMENTO DI ESECUZIONE (UE)</w:t>
      </w:r>
      <w:r w:rsidR="00D41F80" w:rsidRPr="005C5EAD">
        <w:rPr>
          <w:rFonts w:asciiTheme="majorHAnsi" w:hAnsiTheme="majorHAnsi" w:cstheme="majorHAnsi"/>
          <w:sz w:val="24"/>
          <w:szCs w:val="24"/>
        </w:rPr>
        <w:t xml:space="preserve"> n.</w:t>
      </w:r>
      <w:r w:rsidRPr="005C5EAD">
        <w:rPr>
          <w:rFonts w:asciiTheme="majorHAnsi" w:hAnsiTheme="majorHAnsi" w:cstheme="majorHAnsi"/>
          <w:sz w:val="24"/>
          <w:szCs w:val="24"/>
        </w:rPr>
        <w:t>1386</w:t>
      </w:r>
      <w:r w:rsidR="00D41F80" w:rsidRPr="005C5EAD">
        <w:rPr>
          <w:rFonts w:asciiTheme="majorHAnsi" w:hAnsiTheme="majorHAnsi" w:cstheme="majorHAnsi"/>
          <w:sz w:val="24"/>
          <w:szCs w:val="24"/>
        </w:rPr>
        <w:t>/2015</w:t>
      </w:r>
      <w:r w:rsidRPr="005C5EAD">
        <w:rPr>
          <w:rFonts w:asciiTheme="majorHAnsi" w:hAnsiTheme="majorHAnsi" w:cstheme="majorHAnsi"/>
          <w:sz w:val="24"/>
          <w:szCs w:val="24"/>
        </w:rPr>
        <w:t xml:space="preserve"> DELLA COMMISSIONE del 12 agosto 2015 recante modalità di applicazione del </w:t>
      </w:r>
      <w:r w:rsidR="00D41F80" w:rsidRPr="005C5EAD">
        <w:rPr>
          <w:rFonts w:asciiTheme="majorHAnsi" w:hAnsiTheme="majorHAnsi" w:cstheme="majorHAnsi"/>
          <w:sz w:val="24"/>
          <w:szCs w:val="24"/>
        </w:rPr>
        <w:t>r</w:t>
      </w:r>
      <w:r w:rsidRPr="005C5EAD">
        <w:rPr>
          <w:rFonts w:asciiTheme="majorHAnsi" w:hAnsiTheme="majorHAnsi" w:cstheme="majorHAnsi"/>
          <w:sz w:val="24"/>
          <w:szCs w:val="24"/>
        </w:rPr>
        <w:t>egolamento (UE) n. 223/2014 del Parlamento europeo e del Consiglio per quanto riguarda i modelli per la dichiarazione di affidabilità di gestione, la strategia di audit, il parere di audit e la relazione annuale di controllo</w:t>
      </w:r>
      <w:r w:rsidR="005C5EAD">
        <w:rPr>
          <w:rFonts w:asciiTheme="majorHAnsi" w:hAnsiTheme="majorHAnsi" w:cstheme="majorHAnsi"/>
          <w:sz w:val="24"/>
          <w:szCs w:val="24"/>
        </w:rPr>
        <w:t>;</w:t>
      </w:r>
    </w:p>
    <w:p w14:paraId="2A58805B" w14:textId="728DE2A7" w:rsidR="00A20FB9" w:rsidRPr="005C5EAD" w:rsidRDefault="00A20FB9" w:rsidP="007F6D93">
      <w:pPr>
        <w:pStyle w:val="Paragrafoelenco"/>
        <w:widowControl w:val="0"/>
        <w:numPr>
          <w:ilvl w:val="0"/>
          <w:numId w:val="20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 xml:space="preserve">REGOLAMENTO DELEGATO (UE) </w:t>
      </w:r>
      <w:r w:rsidR="005C5EAD">
        <w:rPr>
          <w:rFonts w:asciiTheme="majorHAnsi" w:hAnsiTheme="majorHAnsi" w:cstheme="majorHAnsi"/>
          <w:sz w:val="24"/>
          <w:szCs w:val="24"/>
        </w:rPr>
        <w:t>n.</w:t>
      </w:r>
      <w:r w:rsidRPr="005C5EAD">
        <w:rPr>
          <w:rFonts w:asciiTheme="majorHAnsi" w:hAnsiTheme="majorHAnsi" w:cstheme="majorHAnsi"/>
          <w:sz w:val="24"/>
          <w:szCs w:val="24"/>
        </w:rPr>
        <w:t>1972</w:t>
      </w:r>
      <w:r w:rsidR="005C5EAD">
        <w:rPr>
          <w:rFonts w:asciiTheme="majorHAnsi" w:hAnsiTheme="majorHAnsi" w:cstheme="majorHAnsi"/>
          <w:sz w:val="24"/>
          <w:szCs w:val="24"/>
        </w:rPr>
        <w:t>/2015</w:t>
      </w:r>
      <w:r w:rsidRPr="005C5EAD">
        <w:rPr>
          <w:rFonts w:asciiTheme="majorHAnsi" w:hAnsiTheme="majorHAnsi" w:cstheme="majorHAnsi"/>
          <w:sz w:val="24"/>
          <w:szCs w:val="24"/>
        </w:rPr>
        <w:t xml:space="preserve"> DELLA COMMISSIONE dell'8 luglio 2015 che integra il </w:t>
      </w:r>
      <w:r w:rsidR="00D41F80" w:rsidRPr="005C5EAD">
        <w:rPr>
          <w:rFonts w:asciiTheme="majorHAnsi" w:hAnsiTheme="majorHAnsi" w:cstheme="majorHAnsi"/>
          <w:sz w:val="24"/>
          <w:szCs w:val="24"/>
        </w:rPr>
        <w:t>R</w:t>
      </w:r>
      <w:r w:rsidRPr="005C5EAD">
        <w:rPr>
          <w:rFonts w:asciiTheme="majorHAnsi" w:hAnsiTheme="majorHAnsi" w:cstheme="majorHAnsi"/>
          <w:sz w:val="24"/>
          <w:szCs w:val="24"/>
        </w:rPr>
        <w:t>egolamento (UE) n. 223/2014 del Parlamento europeo e del Consiglio con disposizioni specifiche sulla segnalazione di irregolarità</w:t>
      </w:r>
      <w:r w:rsidR="005C5EAD">
        <w:rPr>
          <w:rFonts w:asciiTheme="majorHAnsi" w:hAnsiTheme="majorHAnsi" w:cstheme="majorHAnsi"/>
          <w:sz w:val="24"/>
          <w:szCs w:val="24"/>
        </w:rPr>
        <w:t>;</w:t>
      </w:r>
    </w:p>
    <w:p w14:paraId="76B4866D" w14:textId="33CDA2A2" w:rsidR="00A20FB9" w:rsidRPr="005C5EAD" w:rsidRDefault="00A20FB9" w:rsidP="007F6D93">
      <w:pPr>
        <w:pStyle w:val="Paragrafoelenco"/>
        <w:widowControl w:val="0"/>
        <w:numPr>
          <w:ilvl w:val="0"/>
          <w:numId w:val="21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 xml:space="preserve">REGOLAMENTO DI ESECUZIONE (UE) 2015/1976 dell'8 luglio 2015 che stabilisce la frequenza e il formato della segnalazione di irregolarità riguardanti il Fondo di aiuti europei agli indigenti, a norma del </w:t>
      </w:r>
      <w:r w:rsidR="005C5EAD" w:rsidRPr="005C5EAD">
        <w:rPr>
          <w:rFonts w:asciiTheme="majorHAnsi" w:hAnsiTheme="majorHAnsi" w:cstheme="majorHAnsi"/>
          <w:sz w:val="24"/>
          <w:szCs w:val="24"/>
        </w:rPr>
        <w:t>R</w:t>
      </w:r>
      <w:r w:rsidRPr="005C5EAD">
        <w:rPr>
          <w:rFonts w:asciiTheme="majorHAnsi" w:hAnsiTheme="majorHAnsi" w:cstheme="majorHAnsi"/>
          <w:sz w:val="24"/>
          <w:szCs w:val="24"/>
        </w:rPr>
        <w:t>egolamento (UE) n. 223/2014 del Parlamento europeo e del Consiglio</w:t>
      </w:r>
      <w:r w:rsidR="005C5EAD" w:rsidRPr="005C5EAD">
        <w:rPr>
          <w:rFonts w:asciiTheme="majorHAnsi" w:hAnsiTheme="majorHAnsi" w:cstheme="majorHAnsi"/>
          <w:sz w:val="24"/>
          <w:szCs w:val="24"/>
        </w:rPr>
        <w:t>;</w:t>
      </w:r>
    </w:p>
    <w:p w14:paraId="3FF23120" w14:textId="248D3AAF" w:rsidR="00A20FB9" w:rsidRPr="005C5EAD" w:rsidRDefault="00A20FB9" w:rsidP="007F6D93">
      <w:pPr>
        <w:pStyle w:val="Paragrafoelenco"/>
        <w:widowControl w:val="0"/>
        <w:numPr>
          <w:ilvl w:val="0"/>
          <w:numId w:val="22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 xml:space="preserve">REGOLAMENTO DI ESECUZIONE (UE) </w:t>
      </w:r>
      <w:r w:rsidR="005C5EAD">
        <w:rPr>
          <w:rFonts w:asciiTheme="majorHAnsi" w:hAnsiTheme="majorHAnsi" w:cstheme="majorHAnsi"/>
          <w:sz w:val="24"/>
          <w:szCs w:val="24"/>
        </w:rPr>
        <w:t>n.</w:t>
      </w:r>
      <w:r w:rsidRPr="005C5EAD">
        <w:rPr>
          <w:rFonts w:asciiTheme="majorHAnsi" w:hAnsiTheme="majorHAnsi" w:cstheme="majorHAnsi"/>
          <w:sz w:val="24"/>
          <w:szCs w:val="24"/>
        </w:rPr>
        <w:t>594</w:t>
      </w:r>
      <w:r w:rsidR="005C5EAD">
        <w:rPr>
          <w:rFonts w:asciiTheme="majorHAnsi" w:hAnsiTheme="majorHAnsi" w:cstheme="majorHAnsi"/>
          <w:sz w:val="24"/>
          <w:szCs w:val="24"/>
        </w:rPr>
        <w:t>/2016</w:t>
      </w:r>
      <w:r w:rsidRPr="005C5EAD">
        <w:rPr>
          <w:rFonts w:asciiTheme="majorHAnsi" w:hAnsiTheme="majorHAnsi" w:cstheme="majorHAnsi"/>
          <w:sz w:val="24"/>
          <w:szCs w:val="24"/>
        </w:rPr>
        <w:t xml:space="preserve"> del 18 aprile 2016 che istituisce un modello per l'indagine strutturata presso i destinatari finali dei programmi operativi per la fornitura di prodotti alimentari e/o assistenza materiale di base del Fondo di aiuti europei agli indigenti a norma del </w:t>
      </w:r>
      <w:r w:rsidR="005C5EAD" w:rsidRPr="005C5EAD">
        <w:rPr>
          <w:rFonts w:asciiTheme="majorHAnsi" w:hAnsiTheme="majorHAnsi" w:cstheme="majorHAnsi"/>
          <w:sz w:val="24"/>
          <w:szCs w:val="24"/>
        </w:rPr>
        <w:t>R</w:t>
      </w:r>
      <w:r w:rsidRPr="005C5EAD">
        <w:rPr>
          <w:rFonts w:asciiTheme="majorHAnsi" w:hAnsiTheme="majorHAnsi" w:cstheme="majorHAnsi"/>
          <w:sz w:val="24"/>
          <w:szCs w:val="24"/>
        </w:rPr>
        <w:t>egolamento (UE) n. 223/2014 del Parlamento europeo e del Consiglio</w:t>
      </w:r>
      <w:r w:rsidR="005C5EAD">
        <w:rPr>
          <w:rFonts w:asciiTheme="majorHAnsi" w:hAnsiTheme="majorHAnsi" w:cstheme="majorHAnsi"/>
          <w:sz w:val="24"/>
          <w:szCs w:val="24"/>
        </w:rPr>
        <w:t>;</w:t>
      </w:r>
    </w:p>
    <w:p w14:paraId="20723B61" w14:textId="5C732837" w:rsidR="00A20FB9" w:rsidRPr="005C5EAD" w:rsidRDefault="00A20FB9" w:rsidP="007F6D93">
      <w:pPr>
        <w:pStyle w:val="Paragrafoelenco"/>
        <w:widowControl w:val="0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>REGOLAMENTO (UE) 2016/1986 DELEGATO del 30 giugno 2016</w:t>
      </w:r>
      <w:r w:rsidR="005C5EAD" w:rsidRPr="005C5EAD">
        <w:rPr>
          <w:rFonts w:asciiTheme="majorHAnsi" w:hAnsiTheme="majorHAnsi" w:cstheme="majorHAnsi"/>
          <w:sz w:val="24"/>
          <w:szCs w:val="24"/>
        </w:rPr>
        <w:t xml:space="preserve"> </w:t>
      </w:r>
      <w:r w:rsidRPr="005C5EAD">
        <w:rPr>
          <w:rFonts w:asciiTheme="majorHAnsi" w:hAnsiTheme="majorHAnsi" w:cstheme="majorHAnsi"/>
          <w:sz w:val="24"/>
          <w:szCs w:val="24"/>
        </w:rPr>
        <w:t xml:space="preserve">che integra il </w:t>
      </w:r>
      <w:r w:rsidR="00D41F80" w:rsidRPr="005C5EAD">
        <w:rPr>
          <w:rFonts w:asciiTheme="majorHAnsi" w:hAnsiTheme="majorHAnsi" w:cstheme="majorHAnsi"/>
          <w:sz w:val="24"/>
          <w:szCs w:val="24"/>
        </w:rPr>
        <w:t>R</w:t>
      </w:r>
      <w:r w:rsidRPr="005C5EAD">
        <w:rPr>
          <w:rFonts w:asciiTheme="majorHAnsi" w:hAnsiTheme="majorHAnsi" w:cstheme="majorHAnsi"/>
          <w:sz w:val="24"/>
          <w:szCs w:val="24"/>
        </w:rPr>
        <w:t>egolamento (UE) n. 2014/223 del Parlamento europeo e del Consiglio riguardo alle condizioni e procedure per determinare se gli importi non recuperabili debbano essere rimborsati dagli Stati membri per quanto riguarda il Fondo di aiuti europei agli indigenti</w:t>
      </w:r>
    </w:p>
    <w:p w14:paraId="572B0F80" w14:textId="0FEA91D7" w:rsidR="00A20FB9" w:rsidRPr="005C5EAD" w:rsidRDefault="00A20FB9" w:rsidP="007F6D93">
      <w:pPr>
        <w:pStyle w:val="Paragrafoelenco"/>
        <w:widowControl w:val="0"/>
        <w:numPr>
          <w:ilvl w:val="0"/>
          <w:numId w:val="2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 xml:space="preserve">REGOLAMENTO DI ESECUZIONE (UE) 2017/1479 DELLA COMMISSIONE del 16 agosto 2017 che modifica il </w:t>
      </w:r>
      <w:r w:rsidR="00D41F80" w:rsidRPr="005C5EAD">
        <w:rPr>
          <w:rFonts w:asciiTheme="majorHAnsi" w:hAnsiTheme="majorHAnsi" w:cstheme="majorHAnsi"/>
          <w:sz w:val="24"/>
          <w:szCs w:val="24"/>
        </w:rPr>
        <w:t>R</w:t>
      </w:r>
      <w:r w:rsidRPr="005C5EAD">
        <w:rPr>
          <w:rFonts w:asciiTheme="majorHAnsi" w:hAnsiTheme="majorHAnsi" w:cstheme="majorHAnsi"/>
          <w:sz w:val="24"/>
          <w:szCs w:val="24"/>
        </w:rPr>
        <w:t xml:space="preserve">egolamento di esecuzione (UE) 2016/1240 per quanto riguarda lo </w:t>
      </w:r>
      <w:r w:rsidRPr="005C5EAD">
        <w:rPr>
          <w:rFonts w:asciiTheme="majorHAnsi" w:hAnsiTheme="majorHAnsi" w:cstheme="majorHAnsi"/>
          <w:sz w:val="24"/>
          <w:szCs w:val="24"/>
        </w:rPr>
        <w:lastRenderedPageBreak/>
        <w:t>smaltimento delle scorte d'intervento per il programma di distribuzione di derrate alimentari agli indigenti</w:t>
      </w:r>
    </w:p>
    <w:p w14:paraId="233325C1" w14:textId="124BE890" w:rsidR="00A20FB9" w:rsidRPr="005C5EAD" w:rsidRDefault="00A20FB9" w:rsidP="007F6D93">
      <w:pPr>
        <w:pStyle w:val="Paragrafoelenco"/>
        <w:widowControl w:val="0"/>
        <w:numPr>
          <w:ilvl w:val="0"/>
          <w:numId w:val="25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>REGOLAMENTO (UE) 2015/1386 DI ESECUZIONE del 12 agosto 2015</w:t>
      </w:r>
      <w:r w:rsidR="005C5EAD" w:rsidRPr="005C5EAD">
        <w:rPr>
          <w:rFonts w:asciiTheme="majorHAnsi" w:hAnsiTheme="majorHAnsi" w:cstheme="majorHAnsi"/>
          <w:sz w:val="24"/>
          <w:szCs w:val="24"/>
        </w:rPr>
        <w:t xml:space="preserve"> </w:t>
      </w:r>
      <w:r w:rsidRPr="005C5EAD">
        <w:rPr>
          <w:rFonts w:asciiTheme="majorHAnsi" w:hAnsiTheme="majorHAnsi" w:cstheme="majorHAnsi"/>
          <w:sz w:val="24"/>
          <w:szCs w:val="24"/>
        </w:rPr>
        <w:t>recante modalità di applicazione del regolamento (UE) n. 223/2014 del Parlamento europeo e del Consiglio per quanto riguarda i modelli per la dichiarazione di affidabilità di gestione, la strategia di audit, il parere di audit e la relazione annuale di controllo</w:t>
      </w:r>
      <w:r w:rsidR="005C5EAD">
        <w:rPr>
          <w:rFonts w:asciiTheme="majorHAnsi" w:hAnsiTheme="majorHAnsi" w:cstheme="majorHAnsi"/>
          <w:sz w:val="24"/>
          <w:szCs w:val="24"/>
        </w:rPr>
        <w:t>;</w:t>
      </w:r>
    </w:p>
    <w:p w14:paraId="69683BC6" w14:textId="648280BE" w:rsidR="000B2D89" w:rsidRPr="005C5EAD" w:rsidRDefault="000B2D89" w:rsidP="007F6D93">
      <w:pPr>
        <w:pStyle w:val="Paragrafoelenco"/>
        <w:widowControl w:val="0"/>
        <w:numPr>
          <w:ilvl w:val="0"/>
          <w:numId w:val="26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5C5EAD">
        <w:rPr>
          <w:rFonts w:asciiTheme="majorHAnsi" w:hAnsiTheme="majorHAnsi" w:cstheme="majorHAnsi"/>
          <w:sz w:val="24"/>
          <w:szCs w:val="24"/>
        </w:rPr>
        <w:t>Regolamento finanziario (UE, EURATOM) n.1046/2018 del Parlamento Europeo e del Consiglio del 18 luglio 2018 che stabilisce le regole finanziarie applicabili al bilancio generale dell'Unione e che abroga il regolamento (</w:t>
      </w:r>
      <w:r w:rsidR="005C5EAD">
        <w:rPr>
          <w:rFonts w:asciiTheme="majorHAnsi" w:hAnsiTheme="majorHAnsi" w:cstheme="majorHAnsi"/>
          <w:sz w:val="24"/>
          <w:szCs w:val="24"/>
        </w:rPr>
        <w:t>U</w:t>
      </w:r>
      <w:r w:rsidRPr="005C5EAD">
        <w:rPr>
          <w:rFonts w:asciiTheme="majorHAnsi" w:hAnsiTheme="majorHAnsi" w:cstheme="majorHAnsi"/>
          <w:sz w:val="24"/>
          <w:szCs w:val="24"/>
        </w:rPr>
        <w:t>E, Euratom) n. 966/2012</w:t>
      </w:r>
    </w:p>
    <w:p w14:paraId="71DA8D7C" w14:textId="77777777" w:rsidR="004F7066" w:rsidRDefault="00A20FB9" w:rsidP="004F7066">
      <w:pPr>
        <w:widowControl w:val="0"/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D</w:t>
      </w:r>
      <w:r w:rsidR="004F7066">
        <w:rPr>
          <w:rFonts w:asciiTheme="majorHAnsi" w:hAnsiTheme="majorHAnsi" w:cstheme="majorHAnsi"/>
          <w:sz w:val="24"/>
          <w:szCs w:val="24"/>
        </w:rPr>
        <w:t>ecreti legislativi</w:t>
      </w:r>
    </w:p>
    <w:p w14:paraId="1E8834BC" w14:textId="77777777" w:rsidR="004F7066" w:rsidRPr="004F7066" w:rsidRDefault="004F7066" w:rsidP="004F706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F7066">
        <w:rPr>
          <w:rFonts w:asciiTheme="majorHAnsi" w:hAnsiTheme="majorHAnsi" w:cstheme="majorHAnsi"/>
          <w:sz w:val="24"/>
          <w:szCs w:val="24"/>
        </w:rPr>
        <w:t>DECRETO LEGISLATIVO 50/2016</w:t>
      </w:r>
    </w:p>
    <w:p w14:paraId="13E70709" w14:textId="4DCC1930" w:rsidR="004F7066" w:rsidRDefault="004F7066" w:rsidP="004F706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F7066">
        <w:rPr>
          <w:rFonts w:asciiTheme="majorHAnsi" w:hAnsiTheme="majorHAnsi" w:cstheme="majorHAnsi"/>
          <w:sz w:val="24"/>
          <w:szCs w:val="24"/>
        </w:rPr>
        <w:t>Attuazione delle direttive 2014/23/UE, 2014/24/UE e 2014/25/UE sull'aggiudicazione dei contratti di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4F7066">
        <w:rPr>
          <w:rFonts w:asciiTheme="majorHAnsi" w:hAnsiTheme="majorHAnsi" w:cstheme="majorHAnsi"/>
          <w:sz w:val="24"/>
          <w:szCs w:val="24"/>
        </w:rPr>
        <w:t>concessione, sugli appalti pubblici e sulle procedure d'appalto degli enti erogatori nei settori dell'acqua,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4F7066">
        <w:rPr>
          <w:rFonts w:asciiTheme="majorHAnsi" w:hAnsiTheme="majorHAnsi" w:cstheme="majorHAnsi"/>
          <w:sz w:val="24"/>
          <w:szCs w:val="24"/>
        </w:rPr>
        <w:t>dell'energia, dei trasporti e dei servizi postali, nonché' per il riordino della disciplina vigente in materia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4F7066">
        <w:rPr>
          <w:rFonts w:asciiTheme="majorHAnsi" w:hAnsiTheme="majorHAnsi" w:cstheme="majorHAnsi"/>
          <w:sz w:val="24"/>
          <w:szCs w:val="24"/>
        </w:rPr>
        <w:t>di contratti pubblici relativi a lavori, servizi e forniture. (16G00062) (GU Serie Generale n.91 del 19-04-2016</w:t>
      </w:r>
      <w:r>
        <w:rPr>
          <w:rFonts w:asciiTheme="majorHAnsi" w:hAnsiTheme="majorHAnsi" w:cstheme="majorHAnsi"/>
          <w:sz w:val="24"/>
          <w:szCs w:val="24"/>
        </w:rPr>
        <w:t>;</w:t>
      </w:r>
    </w:p>
    <w:p w14:paraId="29EF2FA3" w14:textId="77777777" w:rsidR="004F7066" w:rsidRDefault="004F7066" w:rsidP="004F706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DFA9423" w14:textId="50B3EE16" w:rsidR="00A20FB9" w:rsidRPr="006E0AC7" w:rsidRDefault="006E0AC7" w:rsidP="006E0AC7">
      <w:pPr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b/>
          <w:color w:val="002060"/>
        </w:rPr>
      </w:pPr>
      <w:r w:rsidRPr="006E0AC7">
        <w:rPr>
          <w:rFonts w:eastAsia="Calibri" w:cstheme="minorHAnsi"/>
          <w:b/>
          <w:color w:val="002060"/>
        </w:rPr>
        <w:t xml:space="preserve">Atti di indirizzo della </w:t>
      </w:r>
      <w:r w:rsidR="00A20FB9" w:rsidRPr="006E0AC7">
        <w:rPr>
          <w:rFonts w:eastAsia="Calibri" w:cstheme="minorHAnsi"/>
          <w:b/>
          <w:color w:val="002060"/>
        </w:rPr>
        <w:t xml:space="preserve">Commissione </w:t>
      </w:r>
      <w:r w:rsidRPr="006E0AC7">
        <w:rPr>
          <w:rFonts w:eastAsia="Calibri" w:cstheme="minorHAnsi"/>
          <w:b/>
          <w:color w:val="002060"/>
        </w:rPr>
        <w:t>europea</w:t>
      </w:r>
    </w:p>
    <w:p w14:paraId="442E1191" w14:textId="77777777" w:rsidR="006E0AC7" w:rsidRPr="006E0AC7" w:rsidRDefault="006E0AC7" w:rsidP="007F6D93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E0AC7">
        <w:rPr>
          <w:rFonts w:asciiTheme="majorHAnsi" w:hAnsiTheme="majorHAnsi" w:cstheme="majorHAnsi"/>
          <w:sz w:val="24"/>
          <w:szCs w:val="24"/>
        </w:rPr>
        <w:t xml:space="preserve">Nota EGESIF del 3/12/2018 n. 15_0018-04 “Linee guida per gli Stati membri sulla preparazione, sull’esame e sull’accettazione dei conti”. </w:t>
      </w:r>
    </w:p>
    <w:p w14:paraId="3664C184" w14:textId="77777777" w:rsidR="006E0AC7" w:rsidRPr="006E0AC7" w:rsidRDefault="006E0AC7" w:rsidP="007F6D93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E0AC7">
        <w:rPr>
          <w:rFonts w:asciiTheme="majorHAnsi" w:hAnsiTheme="majorHAnsi" w:cstheme="majorHAnsi"/>
          <w:sz w:val="24"/>
          <w:szCs w:val="24"/>
        </w:rPr>
        <w:t xml:space="preserve">Nota EGESIF del 3/12/2018 n. 15_0017-04 “Linee guida per gli Stati membri sugli importi ritirati, sugli importi recuperati o da recuperare e sugli importi irrecuperabili”; </w:t>
      </w:r>
    </w:p>
    <w:p w14:paraId="5260B6A0" w14:textId="77777777" w:rsidR="006E0AC7" w:rsidRPr="006E0AC7" w:rsidRDefault="006E0AC7" w:rsidP="007F6D93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E0AC7">
        <w:rPr>
          <w:rFonts w:asciiTheme="majorHAnsi" w:hAnsiTheme="majorHAnsi" w:cstheme="majorHAnsi"/>
          <w:sz w:val="24"/>
          <w:szCs w:val="24"/>
        </w:rPr>
        <w:t xml:space="preserve">Nota EGESIF del 03/12/2018 n. 15_0016-04 “Linee guida per gli Stati membri sull’audit dei conti”; </w:t>
      </w:r>
    </w:p>
    <w:p w14:paraId="6F59618D" w14:textId="16CE2590" w:rsidR="008F0262" w:rsidRPr="004F7066" w:rsidRDefault="004F7066" w:rsidP="007F6D93">
      <w:pPr>
        <w:pStyle w:val="Titolo1"/>
        <w:numPr>
          <w:ilvl w:val="0"/>
          <w:numId w:val="2"/>
        </w:numPr>
        <w:spacing w:before="0" w:line="360" w:lineRule="auto"/>
        <w:rPr>
          <w:rFonts w:cstheme="majorHAnsi"/>
          <w:sz w:val="24"/>
          <w:szCs w:val="24"/>
        </w:rPr>
      </w:pPr>
      <w:bookmarkStart w:id="1" w:name="_Toc91062809"/>
      <w:r w:rsidRPr="004F7066">
        <w:rPr>
          <w:rFonts w:ascii="Calibri-Bold" w:hAnsi="Calibri-Bold" w:cs="Calibri-Bold"/>
          <w:b/>
          <w:bCs/>
          <w:sz w:val="24"/>
          <w:szCs w:val="24"/>
        </w:rPr>
        <w:t>INFORMAZIONI SUGLI ORGANISMI CHE HANNO ESEGUITO L’AUDIT DEI CONTI</w:t>
      </w:r>
      <w:bookmarkEnd w:id="1"/>
    </w:p>
    <w:p w14:paraId="58B0A6D3" w14:textId="361F70EB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In attuazione delle disposizioni previste dalla normativa comunitaria inerente al periodo di programmazione 2014-2020, il Ministero del Lavoro e delle Politiche Sociali ha identificato l’Autorità di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Audit responsabile della redazione della Strategia e delle altre funzioni ai sensi dell’art. 34 del Reg. (UE) n.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223/2014 nella seguente struttura:</w:t>
      </w:r>
    </w:p>
    <w:p w14:paraId="41D17B14" w14:textId="77777777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1251BA">
        <w:rPr>
          <w:rFonts w:asciiTheme="majorHAnsi" w:hAnsiTheme="majorHAnsi" w:cstheme="majorHAnsi"/>
          <w:b/>
          <w:bCs/>
          <w:sz w:val="24"/>
          <w:szCs w:val="24"/>
        </w:rPr>
        <w:t>Ministero del Lavoro e Politiche Sociali - Segretariato Generale</w:t>
      </w:r>
    </w:p>
    <w:p w14:paraId="1C6B7680" w14:textId="7D0C8DC9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Direttore Generale :</w:t>
      </w:r>
    </w:p>
    <w:p w14:paraId="61ADC3DF" w14:textId="77777777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Via Veneto 56 - 00187 Roma</w:t>
      </w:r>
    </w:p>
    <w:p w14:paraId="624024C4" w14:textId="65A84B2F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 xml:space="preserve">tel. </w:t>
      </w:r>
    </w:p>
    <w:p w14:paraId="51CF5C7A" w14:textId="4BDCE8BF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 xml:space="preserve">Mail: </w:t>
      </w:r>
      <w:hyperlink r:id="rId12" w:history="1">
        <w:r w:rsidRPr="00D47A5A">
          <w:rPr>
            <w:rStyle w:val="Collegamentoipertestuale"/>
            <w:rFonts w:asciiTheme="majorHAnsi" w:hAnsiTheme="majorHAnsi" w:cstheme="majorHAnsi"/>
            <w:sz w:val="24"/>
            <w:szCs w:val="24"/>
          </w:rPr>
          <w:t>SegretariatoFEAD@lavoro.gov.it</w:t>
        </w:r>
      </w:hyperlink>
    </w:p>
    <w:p w14:paraId="1B1B9608" w14:textId="789ABDEF" w:rsidR="001251BA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 xml:space="preserve">PEC: </w:t>
      </w:r>
      <w:hyperlink r:id="rId13" w:history="1">
        <w:r w:rsidRPr="00D47A5A">
          <w:rPr>
            <w:rStyle w:val="Collegamentoipertestuale"/>
            <w:rFonts w:asciiTheme="majorHAnsi" w:hAnsiTheme="majorHAnsi" w:cstheme="majorHAnsi"/>
            <w:sz w:val="24"/>
            <w:szCs w:val="24"/>
          </w:rPr>
          <w:t>segretariatogenerale.AdA@pec.lavoro.gov.it</w:t>
        </w:r>
      </w:hyperlink>
    </w:p>
    <w:p w14:paraId="61215C61" w14:textId="77777777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BDFBB5E" w14:textId="77777777" w:rsidR="001251BA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19E32EA" w14:textId="73E545DB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lastRenderedPageBreak/>
        <w:t>L’organismo di audit indipendente che ha redatto la presente relazione è l’Autorità di audit del PO FEAD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individuata con D.M. del 4 novembre 2014 di attuazione del DPCM 14 febbraio 2014 n. 121, nel Ministero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del Lavoro e delle Politiche Sociali - Segretariato Generale.</w:t>
      </w:r>
    </w:p>
    <w:p w14:paraId="6D141E23" w14:textId="77777777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Il Ministero dell’Economia e delle Finanze – Dipartimento della Ragioneria Generale dello Stato –</w:t>
      </w:r>
    </w:p>
    <w:p w14:paraId="37D50A78" w14:textId="77777777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Ispettorato Generale per i Rapporti Finanziari con l’Unione Europea, in qualità di Organismo di</w:t>
      </w:r>
    </w:p>
    <w:p w14:paraId="3766B621" w14:textId="7555C0F3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 xml:space="preserve">coordinamento nazionale delle funzioni di audit, con nota prot. n. 6558 del 28.01.2015, ha </w:t>
      </w:r>
      <w:r>
        <w:rPr>
          <w:rFonts w:asciiTheme="majorHAnsi" w:hAnsiTheme="majorHAnsi" w:cstheme="majorHAnsi"/>
          <w:sz w:val="24"/>
          <w:szCs w:val="24"/>
        </w:rPr>
        <w:t>t</w:t>
      </w:r>
      <w:r w:rsidRPr="001251BA">
        <w:rPr>
          <w:rFonts w:asciiTheme="majorHAnsi" w:hAnsiTheme="majorHAnsi" w:cstheme="majorHAnsi"/>
          <w:sz w:val="24"/>
          <w:szCs w:val="24"/>
        </w:rPr>
        <w:t>rasmesso il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proprio parere senza riserve sulla designazione della Scrivente Autorità di Audit, parere positivo confermato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con nota prot. 102745 del 22/01/2016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Con il processo riorganizzativo intervenuto nel 2017, il Responsabile della prevenzione della corruzione 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della trasparenza, che opera presso il Segretariato Generale, assicura le funzioni di Autorità di Audit dei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Fondi Europei, al fine di garantire terzietà rispetto alle funzioni di gestione e di certificazione. L’Autorità di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Audit è, quindi, un organismo individuato presso il Segretariato Generale del Ministero del lavoro e delle</w:t>
      </w:r>
    </w:p>
    <w:p w14:paraId="7A65D97D" w14:textId="77777777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politiche sociali.</w:t>
      </w:r>
    </w:p>
    <w:p w14:paraId="6E251A55" w14:textId="0408C977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Il Segretariato Generale del Ministero, come previsto dall’articolo 3 del DPR 15 marzo 2017 n. 57, opera alle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dirette dipendenze del Ministro, assicura il coordinamento e l’unità dell'azione amministrativa, provvede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all'istruttoria per l'elaborazione degli indirizzi e dei programmi del Ministro e coordina gli uffici e le attività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del Ministero.</w:t>
      </w:r>
    </w:p>
    <w:p w14:paraId="207024AB" w14:textId="77777777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In particolare, rilevano gli atti normativi e di natura organizzativa di seguito indicati:</w:t>
      </w:r>
    </w:p>
    <w:p w14:paraId="093B7C48" w14:textId="77777777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a) DPR 15 marzo 2017 n. 57, Regolamento di organizzazione del Ministero del Lavoro e delle Politiche</w:t>
      </w:r>
    </w:p>
    <w:p w14:paraId="1D0602D4" w14:textId="1C584351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Sociali, il quale prevede ai sensi dell'art. 3, comma 6, lettera c, che il Responsabile della prevenzione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della corruzione e della trasparenza opera presso il Segretariato generale e svolge i suoi compiti</w:t>
      </w:r>
    </w:p>
    <w:p w14:paraId="2B2E52BC" w14:textId="0EA5DA7A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con il supporto di una delle unità di personale dirigenziale di livello non generale incardinate presso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il Segretariato Generale, assicurando inoltre le funzioni dell’Autorità di Audit dei Fondi europei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(Fondo Sociale Europeo-FSE, Fondo Europeo di adeguamento alla Globalizzazione-FEG e Fondo di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aiuti europei agli indigenti-FEAD), al fine di garantire terzietà rispetto alle funzioni di gestione 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certificazione;</w:t>
      </w:r>
    </w:p>
    <w:p w14:paraId="248A4308" w14:textId="7DD2B832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b) D.M. 6 dicembre 2017 di attuazione del DPR 15 marzo 2017 n. 57, pubblicato sulla Gazzetta Ufficiale</w:t>
      </w:r>
      <w:r w:rsidR="003C4D80"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n. 103 del 5 maggio 2017 e in vigore dal 20 maggio 2017, il quale all’art. 2 prevede, tra i compiti del</w:t>
      </w:r>
      <w:r w:rsidR="003C4D80"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Segretariato Generale, che la Divisione VI svolge “Attività di audit dei Fondi europei: funzioni di</w:t>
      </w:r>
      <w:r w:rsidR="003C4D80"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supporto all’autorità di audit sui fondi europei”.</w:t>
      </w:r>
    </w:p>
    <w:p w14:paraId="12F945E4" w14:textId="16C94963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Con DPCM 13 maggio 2020, registrato alla Corte dei Conti il 23 luglio 2020, al n. 1564</w:t>
      </w:r>
      <w:r>
        <w:rPr>
          <w:rFonts w:asciiTheme="majorHAnsi" w:hAnsiTheme="majorHAnsi" w:cstheme="majorHAnsi"/>
          <w:sz w:val="24"/>
          <w:szCs w:val="24"/>
        </w:rPr>
        <w:t xml:space="preserve"> l</w:t>
      </w:r>
      <w:r w:rsidRPr="001251BA">
        <w:rPr>
          <w:rFonts w:asciiTheme="majorHAnsi" w:hAnsiTheme="majorHAnsi" w:cstheme="majorHAnsi"/>
          <w:sz w:val="24"/>
          <w:szCs w:val="24"/>
        </w:rPr>
        <w:t>a Dr.ssa Anita Pisarro è stata nominata Responsabile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della prevenzione della corruzione e della trasparenza e Responsabile per l’Autorità di Audit dei Fondi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Europei del Ministero del lavoro e delle politiche sociali.</w:t>
      </w:r>
    </w:p>
    <w:p w14:paraId="7D884546" w14:textId="644E192B" w:rsidR="001251BA" w:rsidRPr="001251BA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t>Il Segretariato Generale, nell’esecuzione delle proprie funzioni di Autorità di Audit, provvede a svolgere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tutti i compiti previsti dal Reg. (UE) n.223/2014, così come modificato da Regolamento (UE, Euratom)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 xml:space="preserve">2018/1046 del Parlamento europeo e del Consiglio del 18 luglio 2018, e </w:t>
      </w:r>
      <w:r w:rsidR="003C4D80"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.532/2014, in applicazione del</w:t>
      </w:r>
      <w:r>
        <w:rPr>
          <w:rFonts w:asciiTheme="majorHAnsi" w:hAnsiTheme="majorHAnsi" w:cstheme="majorHAnsi"/>
          <w:sz w:val="24"/>
          <w:szCs w:val="24"/>
        </w:rPr>
        <w:t xml:space="preserve"> principio di separazione, con riferimento al FEAD – Fondo di </w:t>
      </w:r>
      <w:r w:rsidR="003C4D80"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 xml:space="preserve">- Fondo di aiuti europei agli indigenti in Italia </w:t>
      </w:r>
      <w:r>
        <w:rPr>
          <w:rFonts w:asciiTheme="majorHAnsi" w:hAnsiTheme="majorHAnsi" w:cstheme="majorHAnsi"/>
          <w:sz w:val="24"/>
          <w:szCs w:val="24"/>
        </w:rPr>
        <w:t>–</w:t>
      </w:r>
      <w:r w:rsidRPr="001251BA">
        <w:rPr>
          <w:rFonts w:asciiTheme="majorHAnsi" w:hAnsiTheme="majorHAnsi" w:cstheme="majorHAnsi"/>
          <w:sz w:val="24"/>
          <w:szCs w:val="24"/>
        </w:rPr>
        <w:t xml:space="preserve"> CCI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2014IT05FMOP001.</w:t>
      </w:r>
    </w:p>
    <w:p w14:paraId="149604FC" w14:textId="58B51625" w:rsidR="004F7066" w:rsidRDefault="001251BA" w:rsidP="001251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251BA">
        <w:rPr>
          <w:rFonts w:asciiTheme="majorHAnsi" w:hAnsiTheme="majorHAnsi" w:cstheme="majorHAnsi"/>
          <w:sz w:val="24"/>
          <w:szCs w:val="24"/>
        </w:rPr>
        <w:lastRenderedPageBreak/>
        <w:t>Va detto, inoltre, che, nel corso del 2020, sono intervenute modifiche organizzative anche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251BA">
        <w:rPr>
          <w:rFonts w:asciiTheme="majorHAnsi" w:hAnsiTheme="majorHAnsi" w:cstheme="majorHAnsi"/>
          <w:sz w:val="24"/>
          <w:szCs w:val="24"/>
        </w:rPr>
        <w:t>nell’organigramma della struttura di audit.</w:t>
      </w:r>
    </w:p>
    <w:p w14:paraId="7523212C" w14:textId="5FBC83CD" w:rsidR="001251BA" w:rsidRDefault="001251BA" w:rsidP="009901EE">
      <w:pPr>
        <w:spacing w:line="276" w:lineRule="auto"/>
        <w:ind w:firstLine="426"/>
        <w:rPr>
          <w:rFonts w:asciiTheme="majorHAnsi" w:hAnsiTheme="majorHAnsi" w:cstheme="majorHAnsi"/>
          <w:sz w:val="24"/>
          <w:szCs w:val="24"/>
        </w:rPr>
      </w:pPr>
    </w:p>
    <w:p w14:paraId="30BBB02C" w14:textId="77777777" w:rsidR="00B462F4" w:rsidRPr="009901EE" w:rsidRDefault="00B462F4" w:rsidP="007F6D93">
      <w:pPr>
        <w:pStyle w:val="Titolo1"/>
        <w:numPr>
          <w:ilvl w:val="0"/>
          <w:numId w:val="2"/>
        </w:numPr>
        <w:spacing w:line="276" w:lineRule="auto"/>
        <w:ind w:left="284" w:firstLine="426"/>
        <w:jc w:val="both"/>
        <w:rPr>
          <w:rFonts w:eastAsia="Calibri" w:cstheme="majorHAnsi"/>
          <w:b/>
          <w:caps/>
          <w:color w:val="auto"/>
          <w:sz w:val="24"/>
          <w:szCs w:val="24"/>
        </w:rPr>
      </w:pPr>
      <w:bookmarkStart w:id="2" w:name="_Toc91062810"/>
      <w:r w:rsidRPr="009901EE">
        <w:rPr>
          <w:rFonts w:eastAsia="Calibri" w:cstheme="majorHAnsi"/>
          <w:b/>
          <w:caps/>
          <w:color w:val="auto"/>
          <w:sz w:val="24"/>
          <w:szCs w:val="24"/>
        </w:rPr>
        <w:t>Ambito del controllo</w:t>
      </w:r>
      <w:bookmarkEnd w:id="2"/>
    </w:p>
    <w:p w14:paraId="2B624953" w14:textId="77777777" w:rsidR="00E818B1" w:rsidRPr="009901EE" w:rsidRDefault="00E818B1" w:rsidP="009901EE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</w:p>
    <w:p w14:paraId="74A3B79C" w14:textId="77777777" w:rsidR="007F2D6F" w:rsidRPr="009901EE" w:rsidRDefault="007F2D6F" w:rsidP="009901EE">
      <w:pPr>
        <w:spacing w:before="120" w:after="120" w:line="276" w:lineRule="auto"/>
        <w:ind w:firstLine="426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Il Programma operativo oggetto della presente relazione di controllo annuale è il Programma </w:t>
      </w:r>
      <w:r w:rsidR="00453E68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Fondo di aiuti europei agli indigenti</w:t>
      </w: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, (</w:t>
      </w:r>
      <w:r w:rsidR="00453E68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CCI 2014IT05FMOP001)</w:t>
      </w: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,</w:t>
      </w:r>
      <w:r w:rsidR="002C357E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finanziato dall’Unione Europea.</w:t>
      </w:r>
    </w:p>
    <w:p w14:paraId="47C7E04B" w14:textId="0AA04FC0" w:rsidR="00E5778B" w:rsidRPr="009901EE" w:rsidRDefault="008F0262" w:rsidP="009901EE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Il </w:t>
      </w:r>
      <w:r w:rsidR="00E5778B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FEAD promuove</w:t>
      </w:r>
      <w:r w:rsidR="002C357E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la c</w:t>
      </w:r>
      <w:r w:rsidR="00E5778B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oesione sociale e concorre in</w:t>
      </w:r>
      <w:r w:rsidR="002C357E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ultima </w:t>
      </w:r>
      <w:r w:rsidR="00E5778B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analisi all’</w:t>
      </w:r>
      <w:r w:rsidR="002C357E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obiettivo di</w:t>
      </w:r>
      <w:r w:rsidR="00E5778B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eliminare la povertà nell’unione</w:t>
      </w:r>
      <w:r w:rsidR="0090661B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. In particolare</w:t>
      </w:r>
      <w:r w:rsidR="001251BA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, </w:t>
      </w:r>
      <w:r w:rsidR="0090661B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il fondo </w:t>
      </w:r>
      <w:r w:rsidR="00E5778B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contribuisce al conseguimento dell’obiettivo specifico prestando un’assistenza non finanziaria alle persone indigenti mediante prodotti alimentari e/o assistenza materiale di base nonché attività a favore dell’inclusione sociale finalizzata all’integrazione sociale delle persone indigenti </w:t>
      </w:r>
    </w:p>
    <w:p w14:paraId="59F48A91" w14:textId="77777777" w:rsidR="002C357E" w:rsidRPr="009901EE" w:rsidRDefault="002C357E" w:rsidP="009901EE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In Italia il FEAD finanzia principalmente l'acquisto e distribuzione di beni alimentari</w:t>
      </w:r>
    </w:p>
    <w:p w14:paraId="4B6D3B67" w14:textId="77777777" w:rsidR="00980835" w:rsidRDefault="0090661B" w:rsidP="009901EE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Si precisa che sono state avviate dal 2014 le attività propedeutiche all’implementazione del programma operativo I Fondo Europeo di Aiuti Agli Indigenti – PO I FEAD relativa</w:t>
      </w:r>
      <w:r w:rsid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mente a:</w:t>
      </w:r>
    </w:p>
    <w:p w14:paraId="0F9105DB" w14:textId="0757E6BE" w:rsidR="00980835" w:rsidRDefault="00980835" w:rsidP="009901EE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la misura 1_ Povertà alimentare: per tale misura sono state certificate spese: </w:t>
      </w:r>
    </w:p>
    <w:p w14:paraId="523BB3E8" w14:textId="74CEE89C" w:rsidR="00980835" w:rsidRDefault="00980835" w:rsidP="00980835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la misura 4_ Deprivazione materiale dei senza dimora e altre persone fragili, che riguarda interventi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finanziati dall’Avviso 4/2016 - “Avviso pubblico per la presentazione di proposte di intervento per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il contrasto alla grave emarginazione adulta e alla condizione di senza dimora da finanziare a valere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sul Fondo Sociale Europeo, Programmazione 2014-2020, Programma Operativo Nazionale (PON)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“Inclusione” e sul Fondo di Aiuti Europei agli Indigenti, Programmazione 2014-2020, Programma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Operativo per la fornitura di prodotti alimentari e assistenza materiale di base (PO FEAD)”. L’Avviso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prevede una dotazione finanziaria complessiva di 50 milioni di euro, di cui € 25 milioni a valere sul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Fondo Sociale Europeo, programmazione 2014-2020, Programma Operativo Nazionale Inclusione e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€ 25 milioni a valere sul Fondo di Aiuti Europei agli Indigenti, programmazione 2014-2020. Alla data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dell’Audit non sono state ancora presentate domande di pagamento. Con il DD 287 del 14.08.2020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è stata approvata l’estensione del finanziamento per ulteriori 50 milioni €, di cui 25 milioni per il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FEAD, per permettere la prosecuzione delle attività progettuali e il rafforzamento degli interventi;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l’attribuzione di nuove risorse agli Enti territoriali beneficiari avverrà sulla base dell’avanzamento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980835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delle attività finanziate al 30 settembre 2020, verificate dall’AdG.</w:t>
      </w:r>
    </w:p>
    <w:p w14:paraId="106AA0C3" w14:textId="16A296B1" w:rsidR="005B729E" w:rsidRDefault="005B729E" w:rsidP="00E720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  <w:r w:rsidRPr="005B729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Si precisa, altresì che le misure 2 e 3 del PO FEAD sono state soppresse e riclassificate del finanziamento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5B729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nelle Misure 1 e 4, con la decisione C(2019) 9423 del 19 dicembre 2019 con cui la Commissione approva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5B729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la modifica del POI FEAD, richiesta dall'Italia in data 20 novembre 2019.</w:t>
      </w:r>
      <w:r w:rsidR="00AB572A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5B729E">
        <w:rPr>
          <w:rFonts w:asciiTheme="majorHAnsi" w:hAnsiTheme="majorHAnsi" w:cstheme="majorHAnsi"/>
          <w:color w:val="262626" w:themeColor="text1" w:themeTint="D9"/>
          <w:sz w:val="24"/>
          <w:szCs w:val="24"/>
        </w:rPr>
        <w:lastRenderedPageBreak/>
        <w:t>Tale decisione ha modificato la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5B729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Decisione di esecuzione C(2014) 9676 recante l’approvazione del POI FEAD ridefinendo il quadro</w:t>
      </w:r>
      <w:r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</w:t>
      </w:r>
      <w:r w:rsidRPr="005B729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economico.</w:t>
      </w:r>
    </w:p>
    <w:p w14:paraId="767BBAB2" w14:textId="77777777" w:rsidR="00E72031" w:rsidRDefault="00E72031" w:rsidP="00E720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</w:p>
    <w:p w14:paraId="1DA033C0" w14:textId="5D36B8A8" w:rsidR="00CC1749" w:rsidRPr="009901EE" w:rsidRDefault="00CC1749" w:rsidP="00E72031">
      <w:p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L’attività di audit realizzata dalla </w:t>
      </w:r>
      <w:r w:rsidR="005B729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s</w:t>
      </w: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crivente Autorità ha riguardato l’analisi </w:t>
      </w:r>
      <w:r w:rsidR="00B0526D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sulla</w:t>
      </w: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 presentazione annuale dei conti da parte dell’AdC per il </w:t>
      </w:r>
      <w:r w:rsidR="00A149A1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programma </w:t>
      </w:r>
      <w:r w:rsidR="009958CA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relativo al </w:t>
      </w:r>
      <w:r w:rsidR="00A149A1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 xml:space="preserve">FEAD </w:t>
      </w:r>
      <w:r w:rsidR="009958CA"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Fondo di aiuti europei agli indigenti</w:t>
      </w:r>
      <w:r w:rsidRPr="009901EE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.</w:t>
      </w:r>
    </w:p>
    <w:p w14:paraId="25EE1D99" w14:textId="00BA2857" w:rsidR="00B0526D" w:rsidRPr="009901EE" w:rsidRDefault="00CC1749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Il periodo contabile di riferimento del presente rapporto di audit è il secondo anno contabile, ossia il periodo che va </w:t>
      </w:r>
      <w:r w:rsidR="009901EE">
        <w:rPr>
          <w:rFonts w:asciiTheme="majorHAnsi" w:hAnsiTheme="majorHAnsi" w:cstheme="majorHAnsi"/>
          <w:sz w:val="24"/>
          <w:szCs w:val="24"/>
        </w:rPr>
        <w:t xml:space="preserve">da </w:t>
      </w:r>
      <w:proofErr w:type="spellStart"/>
      <w:r w:rsidR="00AB572A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="009901EE">
        <w:rPr>
          <w:rFonts w:asciiTheme="majorHAnsi" w:hAnsiTheme="majorHAnsi" w:cstheme="majorHAnsi"/>
          <w:sz w:val="24"/>
          <w:szCs w:val="24"/>
        </w:rPr>
        <w:t>….</w:t>
      </w:r>
      <w:r w:rsidR="00AB572A">
        <w:rPr>
          <w:rFonts w:asciiTheme="majorHAnsi" w:hAnsiTheme="majorHAnsi" w:cstheme="majorHAnsi"/>
          <w:sz w:val="24"/>
          <w:szCs w:val="24"/>
        </w:rPr>
        <w:t xml:space="preserve"> a </w:t>
      </w:r>
      <w:proofErr w:type="spellStart"/>
      <w:r w:rsidR="00AB572A">
        <w:rPr>
          <w:rFonts w:asciiTheme="majorHAnsi" w:hAnsiTheme="majorHAnsi" w:cstheme="majorHAnsi"/>
          <w:sz w:val="24"/>
          <w:szCs w:val="24"/>
        </w:rPr>
        <w:t>xxxx</w:t>
      </w:r>
      <w:proofErr w:type="spellEnd"/>
    </w:p>
    <w:p w14:paraId="3AF2500C" w14:textId="77777777" w:rsidR="00B462F4" w:rsidRPr="009901EE" w:rsidRDefault="00B0526D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In particolare, </w:t>
      </w:r>
      <w:r w:rsidR="005E5708" w:rsidRPr="009901EE">
        <w:rPr>
          <w:rFonts w:asciiTheme="majorHAnsi" w:hAnsiTheme="majorHAnsi" w:cstheme="majorHAnsi"/>
          <w:sz w:val="24"/>
          <w:szCs w:val="24"/>
        </w:rPr>
        <w:t xml:space="preserve">i conti </w:t>
      </w:r>
      <w:r w:rsidRPr="009901EE">
        <w:rPr>
          <w:rFonts w:asciiTheme="majorHAnsi" w:hAnsiTheme="majorHAnsi" w:cstheme="majorHAnsi"/>
          <w:sz w:val="24"/>
          <w:szCs w:val="24"/>
        </w:rPr>
        <w:t xml:space="preserve">riguardano </w:t>
      </w:r>
      <w:r w:rsidR="005E5708" w:rsidRPr="009901EE">
        <w:rPr>
          <w:rFonts w:asciiTheme="majorHAnsi" w:hAnsiTheme="majorHAnsi" w:cstheme="majorHAnsi"/>
          <w:sz w:val="24"/>
          <w:szCs w:val="24"/>
        </w:rPr>
        <w:t xml:space="preserve">le spese che sono state sostenute, durante il periodo </w:t>
      </w:r>
      <w:r w:rsidRPr="009901EE">
        <w:rPr>
          <w:rFonts w:asciiTheme="majorHAnsi" w:hAnsiTheme="majorHAnsi" w:cstheme="majorHAnsi"/>
          <w:sz w:val="24"/>
          <w:szCs w:val="24"/>
        </w:rPr>
        <w:t xml:space="preserve">contabile </w:t>
      </w:r>
      <w:r w:rsidR="005E5708" w:rsidRPr="009901EE">
        <w:rPr>
          <w:rFonts w:asciiTheme="majorHAnsi" w:hAnsiTheme="majorHAnsi" w:cstheme="majorHAnsi"/>
          <w:sz w:val="24"/>
          <w:szCs w:val="24"/>
        </w:rPr>
        <w:t xml:space="preserve">di riferimento, e che sono state presentate </w:t>
      </w:r>
      <w:r w:rsidRPr="009901EE">
        <w:rPr>
          <w:rFonts w:asciiTheme="majorHAnsi" w:hAnsiTheme="majorHAnsi" w:cstheme="majorHAnsi"/>
          <w:sz w:val="24"/>
          <w:szCs w:val="24"/>
        </w:rPr>
        <w:t xml:space="preserve">dall’AdC </w:t>
      </w:r>
      <w:r w:rsidR="005E5708" w:rsidRPr="009901EE">
        <w:rPr>
          <w:rFonts w:asciiTheme="majorHAnsi" w:hAnsiTheme="majorHAnsi" w:cstheme="majorHAnsi"/>
          <w:sz w:val="24"/>
          <w:szCs w:val="24"/>
        </w:rPr>
        <w:t xml:space="preserve">alla Commissione </w:t>
      </w:r>
      <w:r w:rsidRPr="009901EE">
        <w:rPr>
          <w:rFonts w:asciiTheme="majorHAnsi" w:hAnsiTheme="majorHAnsi" w:cstheme="majorHAnsi"/>
          <w:sz w:val="24"/>
          <w:szCs w:val="24"/>
        </w:rPr>
        <w:t xml:space="preserve">europea </w:t>
      </w:r>
      <w:r w:rsidR="005E5708" w:rsidRPr="009901EE">
        <w:rPr>
          <w:rFonts w:asciiTheme="majorHAnsi" w:hAnsiTheme="majorHAnsi" w:cstheme="majorHAnsi"/>
          <w:sz w:val="24"/>
          <w:szCs w:val="24"/>
        </w:rPr>
        <w:t>a fini del rimborso</w:t>
      </w:r>
      <w:r w:rsidRPr="009901EE">
        <w:rPr>
          <w:rFonts w:asciiTheme="majorHAnsi" w:hAnsiTheme="majorHAnsi" w:cstheme="majorHAnsi"/>
          <w:sz w:val="24"/>
          <w:szCs w:val="24"/>
        </w:rPr>
        <w:t>.</w:t>
      </w:r>
    </w:p>
    <w:p w14:paraId="7CF5B18D" w14:textId="77777777" w:rsidR="00B462F4" w:rsidRPr="009901EE" w:rsidRDefault="00B462F4" w:rsidP="007F6D93">
      <w:pPr>
        <w:pStyle w:val="Titolo1"/>
        <w:numPr>
          <w:ilvl w:val="0"/>
          <w:numId w:val="2"/>
        </w:numPr>
        <w:spacing w:line="276" w:lineRule="auto"/>
        <w:ind w:left="284" w:firstLine="426"/>
        <w:jc w:val="both"/>
        <w:rPr>
          <w:rFonts w:eastAsia="Calibri" w:cstheme="majorHAnsi"/>
          <w:b/>
          <w:caps/>
          <w:color w:val="auto"/>
          <w:sz w:val="24"/>
          <w:szCs w:val="24"/>
        </w:rPr>
      </w:pPr>
      <w:bookmarkStart w:id="3" w:name="_Toc91062811"/>
      <w:r w:rsidRPr="009901EE">
        <w:rPr>
          <w:rFonts w:eastAsia="Calibri" w:cstheme="majorHAnsi"/>
          <w:b/>
          <w:caps/>
          <w:color w:val="auto"/>
          <w:sz w:val="24"/>
          <w:szCs w:val="24"/>
        </w:rPr>
        <w:t>Obiettivi</w:t>
      </w:r>
      <w:bookmarkEnd w:id="3"/>
    </w:p>
    <w:p w14:paraId="14439CB3" w14:textId="5DD3329C" w:rsidR="00DE77AE" w:rsidRPr="009901EE" w:rsidRDefault="00DE77AE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L’AdA ha eseguito l’audit dei conti, da finalizzare entro </w:t>
      </w:r>
      <w:r w:rsidR="00A47EC9" w:rsidRPr="009901EE">
        <w:rPr>
          <w:rFonts w:asciiTheme="majorHAnsi" w:hAnsiTheme="majorHAnsi" w:cstheme="majorHAnsi"/>
          <w:sz w:val="24"/>
          <w:szCs w:val="24"/>
        </w:rPr>
        <w:t xml:space="preserve">il </w:t>
      </w:r>
      <w:r w:rsidR="00045828">
        <w:rPr>
          <w:rFonts w:asciiTheme="majorHAnsi" w:hAnsiTheme="majorHAnsi" w:cstheme="majorHAnsi"/>
          <w:sz w:val="24"/>
          <w:szCs w:val="24"/>
        </w:rPr>
        <w:t>….</w:t>
      </w:r>
      <w:r w:rsidR="006B7290" w:rsidRPr="009901EE">
        <w:rPr>
          <w:rFonts w:asciiTheme="majorHAnsi" w:hAnsiTheme="majorHAnsi" w:cstheme="majorHAnsi"/>
          <w:sz w:val="24"/>
          <w:szCs w:val="24"/>
        </w:rPr>
        <w:t xml:space="preserve"> (proroga richiesta alla Commissione Europea dall’AdG con nota prot. </w:t>
      </w:r>
      <w:r w:rsidR="00045828">
        <w:rPr>
          <w:rFonts w:asciiTheme="majorHAnsi" w:hAnsiTheme="majorHAnsi" w:cstheme="majorHAnsi"/>
          <w:sz w:val="24"/>
          <w:szCs w:val="24"/>
        </w:rPr>
        <w:t>….</w:t>
      </w:r>
      <w:r w:rsidR="006B7290" w:rsidRPr="009901EE">
        <w:rPr>
          <w:rFonts w:asciiTheme="majorHAnsi" w:hAnsiTheme="majorHAnsi" w:cstheme="majorHAnsi"/>
          <w:sz w:val="24"/>
          <w:szCs w:val="24"/>
        </w:rPr>
        <w:t xml:space="preserve"> del </w:t>
      </w:r>
      <w:r w:rsidR="00045828">
        <w:rPr>
          <w:rFonts w:asciiTheme="majorHAnsi" w:hAnsiTheme="majorHAnsi" w:cstheme="majorHAnsi"/>
          <w:sz w:val="24"/>
          <w:szCs w:val="24"/>
        </w:rPr>
        <w:t>….</w:t>
      </w:r>
      <w:r w:rsidR="006B7290" w:rsidRPr="009901EE">
        <w:rPr>
          <w:rFonts w:asciiTheme="majorHAnsi" w:hAnsiTheme="majorHAnsi" w:cstheme="majorHAnsi"/>
          <w:sz w:val="24"/>
          <w:szCs w:val="24"/>
        </w:rPr>
        <w:t>)</w:t>
      </w:r>
      <w:r w:rsidR="00A47EC9" w:rsidRPr="009901EE">
        <w:rPr>
          <w:rFonts w:asciiTheme="majorHAnsi" w:hAnsiTheme="majorHAnsi" w:cstheme="majorHAnsi"/>
          <w:sz w:val="24"/>
          <w:szCs w:val="24"/>
        </w:rPr>
        <w:t xml:space="preserve">, </w:t>
      </w:r>
      <w:r w:rsidR="00AE4F94" w:rsidRPr="009901EE">
        <w:rPr>
          <w:rFonts w:asciiTheme="majorHAnsi" w:hAnsiTheme="majorHAnsi" w:cstheme="majorHAnsi"/>
          <w:sz w:val="24"/>
          <w:szCs w:val="24"/>
        </w:rPr>
        <w:t xml:space="preserve">ai sensi </w:t>
      </w:r>
      <w:r w:rsidR="00A47EC9" w:rsidRPr="009901EE">
        <w:rPr>
          <w:rFonts w:asciiTheme="majorHAnsi" w:hAnsiTheme="majorHAnsi" w:cstheme="majorHAnsi"/>
          <w:sz w:val="24"/>
          <w:szCs w:val="24"/>
        </w:rPr>
        <w:t>all’art.</w:t>
      </w:r>
      <w:r w:rsidR="005B729E">
        <w:rPr>
          <w:rFonts w:asciiTheme="majorHAnsi" w:hAnsiTheme="majorHAnsi" w:cstheme="majorHAnsi"/>
          <w:sz w:val="24"/>
          <w:szCs w:val="24"/>
        </w:rPr>
        <w:t>63</w:t>
      </w:r>
      <w:r w:rsidR="00AE4F94" w:rsidRPr="009901EE">
        <w:rPr>
          <w:rFonts w:asciiTheme="majorHAnsi" w:hAnsiTheme="majorHAnsi" w:cstheme="majorHAnsi"/>
          <w:sz w:val="24"/>
          <w:szCs w:val="24"/>
        </w:rPr>
        <w:t>, paragrafo 5, lett.</w:t>
      </w:r>
      <w:r w:rsidR="005B729E">
        <w:rPr>
          <w:rFonts w:asciiTheme="majorHAnsi" w:hAnsiTheme="majorHAnsi" w:cstheme="majorHAnsi"/>
          <w:sz w:val="24"/>
          <w:szCs w:val="24"/>
        </w:rPr>
        <w:t xml:space="preserve"> a</w:t>
      </w:r>
      <w:r w:rsidR="00287B1D">
        <w:rPr>
          <w:rFonts w:asciiTheme="majorHAnsi" w:hAnsiTheme="majorHAnsi" w:cstheme="majorHAnsi"/>
          <w:sz w:val="24"/>
          <w:szCs w:val="24"/>
        </w:rPr>
        <w:t>)</w:t>
      </w:r>
      <w:r w:rsidR="005B729E">
        <w:rPr>
          <w:rFonts w:asciiTheme="majorHAnsi" w:hAnsiTheme="majorHAnsi" w:cstheme="majorHAnsi"/>
          <w:sz w:val="24"/>
          <w:szCs w:val="24"/>
        </w:rPr>
        <w:t xml:space="preserve"> e b</w:t>
      </w:r>
      <w:r w:rsidR="00287B1D">
        <w:rPr>
          <w:rFonts w:asciiTheme="majorHAnsi" w:hAnsiTheme="majorHAnsi" w:cstheme="majorHAnsi"/>
          <w:sz w:val="24"/>
          <w:szCs w:val="24"/>
        </w:rPr>
        <w:t>)</w:t>
      </w:r>
      <w:r w:rsidR="00AE4F94" w:rsidRPr="009901EE">
        <w:rPr>
          <w:rFonts w:asciiTheme="majorHAnsi" w:hAnsiTheme="majorHAnsi" w:cstheme="majorHAnsi"/>
          <w:sz w:val="24"/>
          <w:szCs w:val="24"/>
        </w:rPr>
        <w:t xml:space="preserve"> </w:t>
      </w:r>
      <w:r w:rsidR="00A47EC9" w:rsidRPr="009901EE">
        <w:rPr>
          <w:rFonts w:asciiTheme="majorHAnsi" w:hAnsiTheme="majorHAnsi" w:cstheme="majorHAnsi"/>
          <w:sz w:val="24"/>
          <w:szCs w:val="24"/>
        </w:rPr>
        <w:t xml:space="preserve">del Reg. (UE) n. </w:t>
      </w:r>
      <w:r w:rsidR="005B729E">
        <w:rPr>
          <w:rFonts w:asciiTheme="majorHAnsi" w:hAnsiTheme="majorHAnsi" w:cstheme="majorHAnsi"/>
          <w:sz w:val="24"/>
          <w:szCs w:val="24"/>
        </w:rPr>
        <w:t>1046/2018</w:t>
      </w:r>
      <w:r w:rsidRPr="009901EE">
        <w:rPr>
          <w:rFonts w:asciiTheme="majorHAnsi" w:hAnsiTheme="majorHAnsi" w:cstheme="majorHAnsi"/>
          <w:sz w:val="24"/>
          <w:szCs w:val="24"/>
        </w:rPr>
        <w:t>.</w:t>
      </w:r>
      <w:r w:rsidR="00A47EC9" w:rsidRPr="009901EE">
        <w:rPr>
          <w:rFonts w:asciiTheme="majorHAnsi" w:hAnsiTheme="majorHAnsi" w:cstheme="majorHAnsi"/>
          <w:sz w:val="24"/>
          <w:szCs w:val="24"/>
        </w:rPr>
        <w:t xml:space="preserve"> Che prevede la possibilità per gli stati membri di richiedere una proroga</w:t>
      </w:r>
      <w:r w:rsidR="006B7290" w:rsidRPr="009901EE">
        <w:rPr>
          <w:rFonts w:asciiTheme="majorHAnsi" w:hAnsiTheme="majorHAnsi" w:cstheme="majorHAnsi"/>
          <w:sz w:val="24"/>
          <w:szCs w:val="24"/>
        </w:rPr>
        <w:t xml:space="preserve"> </w:t>
      </w:r>
      <w:r w:rsidR="00A47EC9" w:rsidRPr="009901EE">
        <w:rPr>
          <w:rFonts w:asciiTheme="majorHAnsi" w:hAnsiTheme="majorHAnsi" w:cstheme="majorHAnsi"/>
          <w:sz w:val="24"/>
          <w:szCs w:val="24"/>
        </w:rPr>
        <w:t>dal 15 febbraio dell’anno successivo a quello di rendicontazione delle spese dell’esercizio finanziario che si è chiuso al 30 giugno dell’anno precedente</w:t>
      </w:r>
      <w:r w:rsidR="00AE4F94" w:rsidRPr="009901EE">
        <w:rPr>
          <w:rFonts w:asciiTheme="majorHAnsi" w:hAnsiTheme="majorHAnsi" w:cstheme="majorHAnsi"/>
          <w:sz w:val="24"/>
          <w:szCs w:val="24"/>
        </w:rPr>
        <w:t>;</w:t>
      </w:r>
    </w:p>
    <w:p w14:paraId="00DF361B" w14:textId="00AA350D" w:rsidR="00EF17C5" w:rsidRDefault="00DE77AE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Le verifiche sui conti certificati dall’AdC hanno avuto lo scopo di accertare che tutti gli </w:t>
      </w:r>
      <w:r w:rsidR="00EF17C5" w:rsidRPr="009901EE">
        <w:rPr>
          <w:rFonts w:asciiTheme="majorHAnsi" w:hAnsiTheme="majorHAnsi" w:cstheme="majorHAnsi"/>
          <w:sz w:val="24"/>
          <w:szCs w:val="24"/>
        </w:rPr>
        <w:t>elementi richiesti dall’art. 49</w:t>
      </w:r>
      <w:r w:rsidR="006705A3" w:rsidRPr="009901EE">
        <w:rPr>
          <w:rFonts w:asciiTheme="majorHAnsi" w:hAnsiTheme="majorHAnsi" w:cstheme="majorHAnsi"/>
          <w:sz w:val="24"/>
          <w:szCs w:val="24"/>
        </w:rPr>
        <w:t xml:space="preserve">, paragrafo 1, </w:t>
      </w:r>
      <w:r w:rsidR="00EF17C5" w:rsidRPr="009901EE">
        <w:rPr>
          <w:rFonts w:asciiTheme="majorHAnsi" w:hAnsiTheme="majorHAnsi" w:cstheme="majorHAnsi"/>
          <w:sz w:val="24"/>
          <w:szCs w:val="24"/>
        </w:rPr>
        <w:t>del Reg. (UE) n. 223/2014</w:t>
      </w:r>
      <w:r w:rsidRPr="009901EE">
        <w:rPr>
          <w:rFonts w:asciiTheme="majorHAnsi" w:hAnsiTheme="majorHAnsi" w:cstheme="majorHAnsi"/>
          <w:sz w:val="24"/>
          <w:szCs w:val="24"/>
        </w:rPr>
        <w:t xml:space="preserve"> fossero correttamente inclusi nei conti e che fossero supportati da documenti sottostanti in possesso delle Autorità competenti. </w:t>
      </w:r>
    </w:p>
    <w:p w14:paraId="5889E4DB" w14:textId="77777777" w:rsidR="005B729E" w:rsidRPr="009901EE" w:rsidRDefault="005B729E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</w:p>
    <w:p w14:paraId="0E2B4A55" w14:textId="5B730F46" w:rsidR="00E818B1" w:rsidRDefault="00B462F4" w:rsidP="007F6D93">
      <w:pPr>
        <w:pStyle w:val="Titolo1"/>
        <w:numPr>
          <w:ilvl w:val="0"/>
          <w:numId w:val="2"/>
        </w:numPr>
        <w:spacing w:line="276" w:lineRule="auto"/>
        <w:ind w:left="284" w:firstLine="426"/>
        <w:jc w:val="both"/>
        <w:rPr>
          <w:rFonts w:eastAsia="Calibri" w:cstheme="majorHAnsi"/>
          <w:b/>
          <w:caps/>
          <w:color w:val="auto"/>
          <w:sz w:val="24"/>
          <w:szCs w:val="24"/>
        </w:rPr>
      </w:pPr>
      <w:bookmarkStart w:id="4" w:name="_Toc91062812"/>
      <w:r w:rsidRPr="005B729E">
        <w:rPr>
          <w:rFonts w:eastAsia="Calibri" w:cstheme="majorHAnsi"/>
          <w:b/>
          <w:caps/>
          <w:color w:val="auto"/>
          <w:sz w:val="24"/>
          <w:szCs w:val="24"/>
        </w:rPr>
        <w:t>Lavoro di Audit eseguito</w:t>
      </w:r>
      <w:bookmarkEnd w:id="4"/>
    </w:p>
    <w:p w14:paraId="639E1B17" w14:textId="43822B28" w:rsidR="00BD7C59" w:rsidRDefault="00BD7C59" w:rsidP="00BD7C59"/>
    <w:p w14:paraId="2DCF4BEA" w14:textId="191FBBC4" w:rsidR="009F57C3" w:rsidRPr="009901EE" w:rsidRDefault="009058F9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</w:t>
      </w:r>
      <w:r w:rsidR="009F57C3" w:rsidRPr="009901EE">
        <w:rPr>
          <w:rFonts w:asciiTheme="majorHAnsi" w:hAnsiTheme="majorHAnsi" w:cstheme="majorHAnsi"/>
          <w:sz w:val="24"/>
          <w:szCs w:val="24"/>
        </w:rPr>
        <w:t>'Autorità di Audit ha p</w:t>
      </w:r>
      <w:r w:rsidR="006705A3" w:rsidRPr="009901EE">
        <w:rPr>
          <w:rFonts w:asciiTheme="majorHAnsi" w:hAnsiTheme="majorHAnsi" w:cstheme="majorHAnsi"/>
          <w:sz w:val="24"/>
          <w:szCs w:val="24"/>
        </w:rPr>
        <w:t>reparato, ai sensi dell’art. 34 paragrafo 5 lettera a del Reg. (UE) n. 223/2014</w:t>
      </w:r>
      <w:r w:rsidR="006B4E84" w:rsidRPr="009901EE">
        <w:rPr>
          <w:rFonts w:asciiTheme="majorHAnsi" w:hAnsiTheme="majorHAnsi" w:cstheme="majorHAnsi"/>
          <w:sz w:val="24"/>
          <w:szCs w:val="24"/>
        </w:rPr>
        <w:t xml:space="preserve"> dell’Art. 7 del Regolamento Delegato (UE) 532/2014, </w:t>
      </w:r>
      <w:r w:rsidR="009F57C3" w:rsidRPr="009901EE">
        <w:rPr>
          <w:rFonts w:asciiTheme="majorHAnsi" w:hAnsiTheme="majorHAnsi" w:cstheme="majorHAnsi"/>
          <w:sz w:val="24"/>
          <w:szCs w:val="24"/>
        </w:rPr>
        <w:t xml:space="preserve">un Parere di audit a norma dell'art. </w:t>
      </w:r>
      <w:r w:rsidR="00AB572A">
        <w:rPr>
          <w:rFonts w:asciiTheme="majorHAnsi" w:hAnsiTheme="majorHAnsi" w:cstheme="majorHAnsi"/>
          <w:sz w:val="24"/>
          <w:szCs w:val="24"/>
        </w:rPr>
        <w:t xml:space="preserve">63 paragrafo 7 del </w:t>
      </w:r>
      <w:r w:rsidR="009F57C3" w:rsidRPr="009901EE">
        <w:rPr>
          <w:rFonts w:asciiTheme="majorHAnsi" w:hAnsiTheme="majorHAnsi" w:cstheme="majorHAnsi"/>
          <w:sz w:val="24"/>
          <w:szCs w:val="24"/>
        </w:rPr>
        <w:t>Regolamento finanziario</w:t>
      </w:r>
      <w:r w:rsidR="006705A3" w:rsidRPr="009901EE">
        <w:rPr>
          <w:rFonts w:asciiTheme="majorHAnsi" w:hAnsiTheme="majorHAnsi" w:cstheme="majorHAnsi"/>
          <w:sz w:val="24"/>
          <w:szCs w:val="24"/>
        </w:rPr>
        <w:t xml:space="preserve"> n. </w:t>
      </w:r>
      <w:r w:rsidR="00AB572A">
        <w:rPr>
          <w:rFonts w:asciiTheme="majorHAnsi" w:hAnsiTheme="majorHAnsi" w:cstheme="majorHAnsi"/>
          <w:sz w:val="24"/>
          <w:szCs w:val="24"/>
        </w:rPr>
        <w:t>1046</w:t>
      </w:r>
      <w:r w:rsidR="006705A3" w:rsidRPr="009901EE">
        <w:rPr>
          <w:rFonts w:asciiTheme="majorHAnsi" w:hAnsiTheme="majorHAnsi" w:cstheme="majorHAnsi"/>
          <w:sz w:val="24"/>
          <w:szCs w:val="24"/>
        </w:rPr>
        <w:t xml:space="preserve"> del 201</w:t>
      </w:r>
      <w:r w:rsidR="00AB572A">
        <w:rPr>
          <w:rFonts w:asciiTheme="majorHAnsi" w:hAnsiTheme="majorHAnsi" w:cstheme="majorHAnsi"/>
          <w:sz w:val="24"/>
          <w:szCs w:val="24"/>
        </w:rPr>
        <w:t>8</w:t>
      </w:r>
      <w:r w:rsidR="006705A3" w:rsidRPr="009901EE">
        <w:rPr>
          <w:rFonts w:asciiTheme="majorHAnsi" w:hAnsiTheme="majorHAnsi" w:cstheme="majorHAnsi"/>
          <w:sz w:val="24"/>
          <w:szCs w:val="24"/>
        </w:rPr>
        <w:t xml:space="preserve"> </w:t>
      </w:r>
      <w:r w:rsidR="009F57C3" w:rsidRPr="009901EE">
        <w:rPr>
          <w:rFonts w:asciiTheme="majorHAnsi" w:hAnsiTheme="majorHAnsi" w:cstheme="majorHAnsi"/>
          <w:sz w:val="24"/>
          <w:szCs w:val="24"/>
        </w:rPr>
        <w:t xml:space="preserve">, finalizzato ad accertare se i conti forniscono un quadro fedele, se le spese per le quali è stato chiesto il rimborso alla Commissione sono legali e regolari e se i sistemi di controllo istituiti funzionano correttamente. </w:t>
      </w:r>
    </w:p>
    <w:p w14:paraId="04A0155C" w14:textId="77777777" w:rsidR="009F57C3" w:rsidRPr="009901EE" w:rsidRDefault="009F57C3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In particolare, ai fini del Parere di audit, per concludere che i conti forniscono un quadro fedele, l'Autorità di Audit ha verificato che tutti gli e</w:t>
      </w:r>
      <w:r w:rsidR="006705A3" w:rsidRPr="009901EE">
        <w:rPr>
          <w:rFonts w:asciiTheme="majorHAnsi" w:hAnsiTheme="majorHAnsi" w:cstheme="majorHAnsi"/>
          <w:sz w:val="24"/>
          <w:szCs w:val="24"/>
        </w:rPr>
        <w:t>lementi prescritti dall'art. 49 del Reg. (UE) n. 223/2014</w:t>
      </w:r>
      <w:r w:rsidRPr="009901EE">
        <w:rPr>
          <w:rFonts w:asciiTheme="majorHAnsi" w:hAnsiTheme="majorHAnsi" w:cstheme="majorHAnsi"/>
          <w:sz w:val="24"/>
          <w:szCs w:val="24"/>
        </w:rPr>
        <w:t xml:space="preserve"> siano correttamente inclusi nei conti.</w:t>
      </w:r>
    </w:p>
    <w:p w14:paraId="0C600EE1" w14:textId="20CA629C" w:rsidR="009F57C3" w:rsidRPr="009901EE" w:rsidRDefault="009F57C3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lastRenderedPageBreak/>
        <w:t>Conformemente alle linee guida EGESIF_15_00</w:t>
      </w:r>
      <w:r w:rsidR="00AB572A">
        <w:rPr>
          <w:rFonts w:asciiTheme="majorHAnsi" w:hAnsiTheme="majorHAnsi" w:cstheme="majorHAnsi"/>
          <w:sz w:val="24"/>
          <w:szCs w:val="24"/>
        </w:rPr>
        <w:t>18</w:t>
      </w:r>
      <w:r w:rsidRPr="009901EE">
        <w:rPr>
          <w:rFonts w:asciiTheme="majorHAnsi" w:hAnsiTheme="majorHAnsi" w:cstheme="majorHAnsi"/>
          <w:sz w:val="24"/>
          <w:szCs w:val="24"/>
        </w:rPr>
        <w:t>-0</w:t>
      </w:r>
      <w:r w:rsidR="00AB572A">
        <w:rPr>
          <w:rFonts w:asciiTheme="majorHAnsi" w:hAnsiTheme="majorHAnsi" w:cstheme="majorHAnsi"/>
          <w:sz w:val="24"/>
          <w:szCs w:val="24"/>
        </w:rPr>
        <w:t>4</w:t>
      </w:r>
      <w:r w:rsidRPr="009901EE">
        <w:rPr>
          <w:rFonts w:asciiTheme="majorHAnsi" w:hAnsiTheme="majorHAnsi" w:cstheme="majorHAnsi"/>
          <w:sz w:val="24"/>
          <w:szCs w:val="24"/>
        </w:rPr>
        <w:t xml:space="preserve"> </w:t>
      </w:r>
      <w:r w:rsidR="00AB572A">
        <w:rPr>
          <w:rFonts w:asciiTheme="majorHAnsi" w:hAnsiTheme="majorHAnsi" w:cstheme="majorHAnsi"/>
          <w:sz w:val="24"/>
          <w:szCs w:val="24"/>
        </w:rPr>
        <w:t>03/12/2018</w:t>
      </w:r>
      <w:r w:rsidRPr="009901EE">
        <w:rPr>
          <w:rFonts w:asciiTheme="majorHAnsi" w:hAnsiTheme="majorHAnsi" w:cstheme="majorHAnsi"/>
          <w:sz w:val="24"/>
          <w:szCs w:val="24"/>
        </w:rPr>
        <w:t xml:space="preserve"> recanti la Guida orientativa per gli Stati membri sull’Audit dei conti, l’AdA ha eseguito l’audit dei conti e ha verificato che:</w:t>
      </w:r>
    </w:p>
    <w:p w14:paraId="5C277C28" w14:textId="66D1A253" w:rsidR="00967DDD" w:rsidRPr="009901EE" w:rsidRDefault="006705A3" w:rsidP="009058F9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l</w:t>
      </w:r>
      <w:r w:rsidR="009058F9">
        <w:rPr>
          <w:rFonts w:asciiTheme="majorHAnsi" w:hAnsiTheme="majorHAnsi" w:cstheme="majorHAnsi"/>
          <w:color w:val="000000"/>
          <w:sz w:val="24"/>
          <w:szCs w:val="24"/>
        </w:rPr>
        <w:t>'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>importo totale di</w:t>
      </w:r>
      <w:r w:rsidR="009F57C3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spese 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pubbliche </w:t>
      </w:r>
      <w:r w:rsidR="009F57C3" w:rsidRPr="009901EE">
        <w:rPr>
          <w:rFonts w:asciiTheme="majorHAnsi" w:hAnsiTheme="majorHAnsi" w:cstheme="majorHAnsi"/>
          <w:color w:val="000000"/>
          <w:sz w:val="24"/>
          <w:szCs w:val="24"/>
        </w:rPr>
        <w:t>d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>ichiarate ai sensi dell’art. 49</w:t>
      </w:r>
      <w:r w:rsidR="006E4F29" w:rsidRPr="009901EE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967DDD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1,(a) del Reg. (UE) n. 223/2014 </w:t>
      </w:r>
      <w:r w:rsidR="009F57C3" w:rsidRPr="009901EE">
        <w:rPr>
          <w:rFonts w:asciiTheme="majorHAnsi" w:hAnsiTheme="majorHAnsi" w:cstheme="majorHAnsi"/>
          <w:color w:val="000000"/>
          <w:sz w:val="24"/>
          <w:szCs w:val="24"/>
        </w:rPr>
        <w:t>sia riconciliabile con</w:t>
      </w:r>
      <w:r w:rsidR="00967DDD" w:rsidRPr="009901EE">
        <w:rPr>
          <w:rFonts w:asciiTheme="majorHAnsi" w:hAnsiTheme="majorHAnsi" w:cstheme="majorHAnsi"/>
          <w:color w:val="000000"/>
          <w:sz w:val="24"/>
          <w:szCs w:val="24"/>
        </w:rPr>
        <w:t>:</w:t>
      </w:r>
    </w:p>
    <w:p w14:paraId="71D2E561" w14:textId="05D0D0EA" w:rsidR="00967DDD" w:rsidRPr="00AB572A" w:rsidRDefault="00967DDD" w:rsidP="009058F9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AB572A">
        <w:rPr>
          <w:rFonts w:asciiTheme="majorHAnsi" w:hAnsiTheme="majorHAnsi" w:cstheme="majorHAnsi"/>
          <w:color w:val="000000"/>
          <w:sz w:val="24"/>
          <w:szCs w:val="24"/>
        </w:rPr>
        <w:t xml:space="preserve">l’importo totale di </w:t>
      </w:r>
      <w:r w:rsidR="009F57C3" w:rsidRPr="00AB572A">
        <w:rPr>
          <w:rFonts w:asciiTheme="majorHAnsi" w:hAnsiTheme="majorHAnsi" w:cstheme="majorHAnsi"/>
          <w:color w:val="000000"/>
          <w:sz w:val="24"/>
          <w:szCs w:val="24"/>
        </w:rPr>
        <w:t>spese</w:t>
      </w:r>
      <w:r w:rsidRPr="00AB572A">
        <w:rPr>
          <w:rFonts w:asciiTheme="majorHAnsi" w:hAnsiTheme="majorHAnsi" w:cstheme="majorHAnsi"/>
          <w:color w:val="000000"/>
          <w:sz w:val="24"/>
          <w:szCs w:val="24"/>
        </w:rPr>
        <w:t xml:space="preserve"> pubbliche ammissibili registrato dall’A</w:t>
      </w:r>
      <w:r w:rsidR="000379B9" w:rsidRPr="00AB572A">
        <w:rPr>
          <w:rFonts w:asciiTheme="majorHAnsi" w:hAnsiTheme="majorHAnsi" w:cstheme="majorHAnsi"/>
          <w:color w:val="000000"/>
          <w:sz w:val="24"/>
          <w:szCs w:val="24"/>
        </w:rPr>
        <w:t>d</w:t>
      </w:r>
      <w:r w:rsidRPr="00AB572A">
        <w:rPr>
          <w:rFonts w:asciiTheme="majorHAnsi" w:hAnsiTheme="majorHAnsi" w:cstheme="majorHAnsi"/>
          <w:color w:val="000000"/>
          <w:sz w:val="24"/>
          <w:szCs w:val="24"/>
        </w:rPr>
        <w:t xml:space="preserve">C nei propri sistemi contabili, inserito </w:t>
      </w:r>
      <w:r w:rsidR="006E4F29" w:rsidRPr="00AB572A">
        <w:rPr>
          <w:rFonts w:asciiTheme="majorHAnsi" w:hAnsiTheme="majorHAnsi" w:cstheme="majorHAnsi"/>
          <w:color w:val="000000"/>
          <w:sz w:val="24"/>
          <w:szCs w:val="24"/>
        </w:rPr>
        <w:t xml:space="preserve">nelle domande di pagamento presentate alla Commissione a norma dell’art. 41 e dell’art. 45 paragrafo 2 entro il </w:t>
      </w:r>
      <w:r w:rsidR="00AB572A" w:rsidRPr="00AB572A">
        <w:rPr>
          <w:rFonts w:asciiTheme="majorHAnsi" w:hAnsiTheme="majorHAnsi" w:cstheme="majorHAnsi"/>
          <w:color w:val="000000"/>
          <w:sz w:val="24"/>
          <w:szCs w:val="24"/>
        </w:rPr>
        <w:t>31 luglio successivo alla fine del periodo contabile</w:t>
      </w:r>
      <w:r w:rsidRPr="00AB572A">
        <w:rPr>
          <w:rFonts w:asciiTheme="majorHAnsi" w:hAnsiTheme="majorHAnsi" w:cstheme="majorHAnsi"/>
          <w:color w:val="000000"/>
          <w:sz w:val="24"/>
          <w:szCs w:val="24"/>
        </w:rPr>
        <w:t xml:space="preserve">; </w:t>
      </w:r>
    </w:p>
    <w:p w14:paraId="42B6B07A" w14:textId="77777777" w:rsidR="00967DDD" w:rsidRPr="00AB572A" w:rsidRDefault="00967DDD" w:rsidP="009058F9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AB572A">
        <w:rPr>
          <w:rFonts w:asciiTheme="majorHAnsi" w:hAnsiTheme="majorHAnsi" w:cstheme="majorHAnsi"/>
          <w:color w:val="000000"/>
          <w:sz w:val="24"/>
          <w:szCs w:val="24"/>
        </w:rPr>
        <w:t xml:space="preserve">l’importo totale della spesa pubblica sostenuta per l’esecuzione dell’operazione </w:t>
      </w:r>
    </w:p>
    <w:p w14:paraId="759D0412" w14:textId="79DB99F6" w:rsidR="00967DDD" w:rsidRPr="00AB572A" w:rsidRDefault="00967DDD" w:rsidP="009058F9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AB572A">
        <w:rPr>
          <w:rFonts w:asciiTheme="majorHAnsi" w:hAnsiTheme="majorHAnsi" w:cstheme="majorHAnsi"/>
          <w:color w:val="000000"/>
          <w:sz w:val="24"/>
          <w:szCs w:val="24"/>
        </w:rPr>
        <w:t>l’importa totale dei pagamenti corrispondenti effettuati ai beneficiari a norma dell’art. 42 paragrafo 2;</w:t>
      </w:r>
    </w:p>
    <w:p w14:paraId="23B218E2" w14:textId="77777777" w:rsidR="00967DDD" w:rsidRPr="009901EE" w:rsidRDefault="009F57C3" w:rsidP="009058F9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gli importi ritirati e recuperati nel corso del periodo contabile, gli importi da recuperare al termine del periodo contabile, </w:t>
      </w:r>
      <w:r w:rsidR="004D280D" w:rsidRPr="009901EE">
        <w:rPr>
          <w:rFonts w:asciiTheme="majorHAnsi" w:hAnsiTheme="majorHAnsi" w:cstheme="majorHAnsi"/>
          <w:color w:val="000000"/>
          <w:sz w:val="24"/>
          <w:szCs w:val="24"/>
        </w:rPr>
        <w:t>e gli importi non recuperabili a norma dell'art. 49 paragrafo 1, lettera b del Reg. (UE) n. 223/2014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>;</w:t>
      </w:r>
    </w:p>
    <w:p w14:paraId="027150C6" w14:textId="092D3165" w:rsidR="004D280D" w:rsidRPr="009901EE" w:rsidRDefault="004D280D" w:rsidP="009058F9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>il raffronto tra le spese dichiarate, ai sensi dell'art. 49, lettera a</w:t>
      </w:r>
      <w:r w:rsidR="00B217CB">
        <w:rPr>
          <w:rFonts w:asciiTheme="majorHAnsi" w:hAnsiTheme="majorHAnsi" w:cstheme="majorHAnsi"/>
          <w:color w:val="000000"/>
          <w:sz w:val="24"/>
          <w:szCs w:val="24"/>
        </w:rPr>
        <w:t>),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del Reg. (UE) n. 223/2014, e le spese dichiarate rispetto al medesimo periodo contabile inserite nelle domande di pagamento</w:t>
      </w:r>
      <w:r w:rsidR="006B4E84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e che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non risultino differenze.</w:t>
      </w:r>
    </w:p>
    <w:p w14:paraId="50347806" w14:textId="4EF8AB8F" w:rsidR="007D318A" w:rsidRPr="009901EE" w:rsidRDefault="007D318A" w:rsidP="009901E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In data </w:t>
      </w:r>
      <w:r w:rsidR="000379B9">
        <w:rPr>
          <w:rFonts w:asciiTheme="majorHAnsi" w:hAnsiTheme="majorHAnsi" w:cstheme="majorHAnsi"/>
          <w:sz w:val="24"/>
          <w:szCs w:val="24"/>
        </w:rPr>
        <w:t>….</w:t>
      </w:r>
      <w:r w:rsidRPr="009901EE">
        <w:rPr>
          <w:rFonts w:asciiTheme="majorHAnsi" w:hAnsiTheme="majorHAnsi" w:cstheme="majorHAnsi"/>
          <w:sz w:val="24"/>
          <w:szCs w:val="24"/>
        </w:rPr>
        <w:t>, l’AdC ha inviato la bozza preliminare dei conti per una valutazione dell’AdA.</w:t>
      </w:r>
    </w:p>
    <w:p w14:paraId="07ED4B96" w14:textId="4B190C1D" w:rsidR="004442AC" w:rsidRPr="009901EE" w:rsidRDefault="00282A5B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I</w:t>
      </w:r>
      <w:r w:rsidR="001F689C" w:rsidRPr="009901EE">
        <w:rPr>
          <w:rFonts w:asciiTheme="majorHAnsi" w:hAnsiTheme="majorHAnsi" w:cstheme="majorHAnsi"/>
          <w:sz w:val="24"/>
          <w:szCs w:val="24"/>
        </w:rPr>
        <w:t xml:space="preserve">n data </w:t>
      </w:r>
      <w:r w:rsidR="000379B9">
        <w:rPr>
          <w:rFonts w:asciiTheme="majorHAnsi" w:hAnsiTheme="majorHAnsi" w:cstheme="majorHAnsi"/>
          <w:sz w:val="24"/>
          <w:szCs w:val="24"/>
        </w:rPr>
        <w:t>…..</w:t>
      </w:r>
      <w:r w:rsidR="001F689C" w:rsidRPr="009901EE">
        <w:rPr>
          <w:rFonts w:asciiTheme="majorHAnsi" w:hAnsiTheme="majorHAnsi" w:cstheme="majorHAnsi"/>
          <w:sz w:val="24"/>
          <w:szCs w:val="24"/>
        </w:rPr>
        <w:t>, l’AdC</w:t>
      </w:r>
      <w:r w:rsidRPr="009901EE">
        <w:rPr>
          <w:rFonts w:asciiTheme="majorHAnsi" w:hAnsiTheme="majorHAnsi" w:cstheme="majorHAnsi"/>
          <w:sz w:val="24"/>
          <w:szCs w:val="24"/>
        </w:rPr>
        <w:t xml:space="preserve"> ha inviato la bozza</w:t>
      </w:r>
      <w:r w:rsidR="008945B5" w:rsidRPr="009901EE">
        <w:rPr>
          <w:rFonts w:asciiTheme="majorHAnsi" w:hAnsiTheme="majorHAnsi" w:cstheme="majorHAnsi"/>
          <w:sz w:val="24"/>
          <w:szCs w:val="24"/>
        </w:rPr>
        <w:t xml:space="preserve"> definitiva </w:t>
      </w:r>
      <w:r w:rsidRPr="009901EE">
        <w:rPr>
          <w:rFonts w:asciiTheme="majorHAnsi" w:hAnsiTheme="majorHAnsi" w:cstheme="majorHAnsi"/>
          <w:sz w:val="24"/>
          <w:szCs w:val="24"/>
        </w:rPr>
        <w:t>dei conti</w:t>
      </w:r>
      <w:r w:rsidR="006B4E84" w:rsidRPr="009901EE">
        <w:rPr>
          <w:rFonts w:asciiTheme="majorHAnsi" w:hAnsiTheme="majorHAnsi" w:cstheme="majorHAnsi"/>
          <w:sz w:val="24"/>
          <w:szCs w:val="24"/>
        </w:rPr>
        <w:t xml:space="preserve"> in seguito alle rettifiche finanziarie successive ad Audit sulle operazioni effettuati a norma dell’art 34</w:t>
      </w:r>
      <w:r w:rsidR="009058F9">
        <w:rPr>
          <w:rFonts w:asciiTheme="majorHAnsi" w:hAnsiTheme="majorHAnsi" w:cstheme="majorHAnsi"/>
          <w:sz w:val="24"/>
          <w:szCs w:val="24"/>
        </w:rPr>
        <w:t>,</w:t>
      </w:r>
      <w:r w:rsidR="006B4E84" w:rsidRPr="009901EE">
        <w:rPr>
          <w:rFonts w:asciiTheme="majorHAnsi" w:hAnsiTheme="majorHAnsi" w:cstheme="majorHAnsi"/>
          <w:sz w:val="24"/>
          <w:szCs w:val="24"/>
        </w:rPr>
        <w:t xml:space="preserve"> paragrafo 1</w:t>
      </w:r>
      <w:r w:rsidR="009058F9">
        <w:rPr>
          <w:rFonts w:asciiTheme="majorHAnsi" w:hAnsiTheme="majorHAnsi" w:cstheme="majorHAnsi"/>
          <w:sz w:val="24"/>
          <w:szCs w:val="24"/>
        </w:rPr>
        <w:t>,</w:t>
      </w:r>
      <w:r w:rsidR="006B4E84" w:rsidRPr="009901EE">
        <w:rPr>
          <w:rFonts w:asciiTheme="majorHAnsi" w:hAnsiTheme="majorHAnsi" w:cstheme="majorHAnsi"/>
          <w:sz w:val="24"/>
          <w:szCs w:val="24"/>
        </w:rPr>
        <w:t>del Regolamento (UE) n. 223/2014,</w:t>
      </w:r>
      <w:r w:rsidRPr="009901EE">
        <w:rPr>
          <w:rFonts w:asciiTheme="majorHAnsi" w:hAnsiTheme="majorHAnsi" w:cstheme="majorHAnsi"/>
          <w:sz w:val="24"/>
          <w:szCs w:val="24"/>
        </w:rPr>
        <w:t xml:space="preserve"> </w:t>
      </w:r>
      <w:r w:rsidR="009F57C3" w:rsidRPr="009901EE">
        <w:rPr>
          <w:rFonts w:asciiTheme="majorHAnsi" w:hAnsiTheme="majorHAnsi" w:cstheme="majorHAnsi"/>
          <w:sz w:val="24"/>
          <w:szCs w:val="24"/>
        </w:rPr>
        <w:t xml:space="preserve">per </w:t>
      </w:r>
      <w:r w:rsidR="006B4E84" w:rsidRPr="009901EE">
        <w:rPr>
          <w:rFonts w:asciiTheme="majorHAnsi" w:hAnsiTheme="majorHAnsi" w:cstheme="majorHAnsi"/>
          <w:sz w:val="24"/>
          <w:szCs w:val="24"/>
        </w:rPr>
        <w:t>la valutazione</w:t>
      </w:r>
      <w:r w:rsidR="004442AC" w:rsidRPr="009901EE">
        <w:rPr>
          <w:rFonts w:asciiTheme="majorHAnsi" w:hAnsiTheme="majorHAnsi" w:cstheme="majorHAnsi"/>
          <w:sz w:val="24"/>
          <w:szCs w:val="24"/>
        </w:rPr>
        <w:t xml:space="preserve"> dell’AdA</w:t>
      </w:r>
      <w:r w:rsidR="001F689C" w:rsidRPr="009901EE">
        <w:rPr>
          <w:rFonts w:asciiTheme="majorHAnsi" w:hAnsiTheme="majorHAnsi" w:cstheme="majorHAnsi"/>
          <w:sz w:val="24"/>
          <w:szCs w:val="24"/>
        </w:rPr>
        <w:t xml:space="preserve"> al fine di poter procedere all’invio del pacchetto di chiusura dei conti per </w:t>
      </w:r>
      <w:r w:rsidR="005F5303" w:rsidRPr="009901EE">
        <w:rPr>
          <w:rFonts w:asciiTheme="majorHAnsi" w:hAnsiTheme="majorHAnsi" w:cstheme="majorHAnsi"/>
          <w:sz w:val="24"/>
          <w:szCs w:val="24"/>
        </w:rPr>
        <w:t>il periodo contabile di riferimento</w:t>
      </w:r>
      <w:r w:rsidR="007D318A" w:rsidRPr="009901EE">
        <w:rPr>
          <w:rFonts w:asciiTheme="majorHAnsi" w:hAnsiTheme="majorHAnsi" w:cstheme="majorHAnsi"/>
          <w:sz w:val="24"/>
          <w:szCs w:val="24"/>
        </w:rPr>
        <w:t>.</w:t>
      </w:r>
    </w:p>
    <w:p w14:paraId="0FAF2840" w14:textId="77777777" w:rsidR="009F57C3" w:rsidRPr="009901EE" w:rsidRDefault="009F57C3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In merito alle attività di controllo effettuate, di seguito si riportano gli elementi metodologici di rilievo.</w:t>
      </w:r>
    </w:p>
    <w:p w14:paraId="4DA7D679" w14:textId="7C3181EF" w:rsidR="009F57C3" w:rsidRPr="009901EE" w:rsidRDefault="009F57C3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In coerenza c</w:t>
      </w:r>
      <w:r w:rsidR="00282A5B" w:rsidRPr="009901EE">
        <w:rPr>
          <w:rFonts w:asciiTheme="majorHAnsi" w:hAnsiTheme="majorHAnsi" w:cstheme="majorHAnsi"/>
          <w:sz w:val="24"/>
          <w:szCs w:val="24"/>
        </w:rPr>
        <w:t>on quanto previsto con l’art. 7</w:t>
      </w:r>
      <w:r w:rsidR="009058F9">
        <w:rPr>
          <w:rFonts w:asciiTheme="majorHAnsi" w:hAnsiTheme="majorHAnsi" w:cstheme="majorHAnsi"/>
          <w:sz w:val="24"/>
          <w:szCs w:val="24"/>
        </w:rPr>
        <w:t xml:space="preserve">, paragrafo 4 </w:t>
      </w:r>
      <w:r w:rsidR="00282A5B" w:rsidRPr="009901EE">
        <w:rPr>
          <w:rFonts w:asciiTheme="majorHAnsi" w:hAnsiTheme="majorHAnsi" w:cstheme="majorHAnsi"/>
          <w:sz w:val="24"/>
          <w:szCs w:val="24"/>
        </w:rPr>
        <w:t>del Reg. (U</w:t>
      </w:r>
      <w:r w:rsidR="009058F9">
        <w:rPr>
          <w:rFonts w:asciiTheme="majorHAnsi" w:hAnsiTheme="majorHAnsi" w:cstheme="majorHAnsi"/>
          <w:sz w:val="24"/>
          <w:szCs w:val="24"/>
        </w:rPr>
        <w:t>E</w:t>
      </w:r>
      <w:r w:rsidR="00282A5B" w:rsidRPr="009901EE">
        <w:rPr>
          <w:rFonts w:asciiTheme="majorHAnsi" w:hAnsiTheme="majorHAnsi" w:cstheme="majorHAnsi"/>
          <w:sz w:val="24"/>
          <w:szCs w:val="24"/>
        </w:rPr>
        <w:t>) n. 532</w:t>
      </w:r>
      <w:r w:rsidRPr="009901EE">
        <w:rPr>
          <w:rFonts w:asciiTheme="majorHAnsi" w:hAnsiTheme="majorHAnsi" w:cstheme="majorHAnsi"/>
          <w:sz w:val="24"/>
          <w:szCs w:val="24"/>
        </w:rPr>
        <w:t xml:space="preserve">/2014, l’AdA ha eseguito l’audit sui conti </w:t>
      </w:r>
      <w:r w:rsidR="00EF36F7" w:rsidRPr="009901EE">
        <w:rPr>
          <w:rFonts w:asciiTheme="majorHAnsi" w:hAnsiTheme="majorHAnsi" w:cstheme="majorHAnsi"/>
          <w:sz w:val="24"/>
          <w:szCs w:val="24"/>
        </w:rPr>
        <w:t>utilizzando le informazioni di cui all’</w:t>
      </w:r>
      <w:r w:rsidRPr="009901EE">
        <w:rPr>
          <w:rFonts w:asciiTheme="majorHAnsi" w:hAnsiTheme="majorHAnsi" w:cstheme="majorHAnsi"/>
          <w:sz w:val="24"/>
          <w:szCs w:val="24"/>
        </w:rPr>
        <w:t xml:space="preserve">audit di sistema effettuato sull’AdC. A tale scopo, nell’ambito del suddetto audit è stata prestata particolare attenzione alla valutazione del Requisito Chiave 13 "Adeguate procedure per elaborare e certificare la completezza, esattezza e veridicità dei conti". In particolare, l'AdA ha verificato, attraverso l’audit di sistema dell’AdC, che siano state predisposte adeguate procedure per segnalare e monitorare le irregolarità; tenere conto degli importi che devono essere ritirati o da recuperare ed essere dedotti dalle domande di pagamento durante l’anno contabile; garantire il </w:t>
      </w:r>
      <w:r w:rsidRPr="009901EE">
        <w:rPr>
          <w:rFonts w:asciiTheme="majorHAnsi" w:hAnsiTheme="majorHAnsi" w:cstheme="majorHAnsi"/>
          <w:i/>
          <w:sz w:val="24"/>
          <w:szCs w:val="24"/>
        </w:rPr>
        <w:t>follow-up</w:t>
      </w:r>
      <w:r w:rsidRPr="009901EE">
        <w:rPr>
          <w:rFonts w:asciiTheme="majorHAnsi" w:hAnsiTheme="majorHAnsi" w:cstheme="majorHAnsi"/>
          <w:sz w:val="24"/>
          <w:szCs w:val="24"/>
        </w:rPr>
        <w:t xml:space="preserve"> dei recuperi pendenti e degli importi </w:t>
      </w:r>
      <w:r w:rsidRPr="009901EE">
        <w:rPr>
          <w:rFonts w:asciiTheme="majorHAnsi" w:hAnsiTheme="majorHAnsi" w:cstheme="majorHAnsi"/>
          <w:sz w:val="24"/>
          <w:szCs w:val="24"/>
        </w:rPr>
        <w:lastRenderedPageBreak/>
        <w:t xml:space="preserve">non recuperabili. L’audit di sistema ha coperto anche l'affidabilità del sistema informativo realizzato dall’AdC per gestire il suo sistema contabile.  </w:t>
      </w:r>
    </w:p>
    <w:p w14:paraId="3ADBB4C7" w14:textId="77777777" w:rsidR="00DE77AE" w:rsidRPr="009901EE" w:rsidRDefault="00DE77AE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Per quanto attiene la presentazione dei conti annuali di competenza dell’AdC, l’AdA, una volta ricevuta la bozza dei conti, in considerazione anche dei risultati dell’audit di sistema sull’AdC e degli esiti finali degli audit delle operazioni, ha eseguito le verifiche aggiuntive finali sulla bozza dei conti certificati. </w:t>
      </w:r>
    </w:p>
    <w:p w14:paraId="19B30173" w14:textId="77777777" w:rsidR="008509D9" w:rsidRPr="009901EE" w:rsidRDefault="008509D9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In particolare, la scrivente Autorità ha realizzato un test di controllo sulla bozza di bilancio presentato dall’AdC per il periodo contabile di riferimento. </w:t>
      </w:r>
    </w:p>
    <w:p w14:paraId="034B5360" w14:textId="77777777" w:rsidR="000B4171" w:rsidRPr="009901EE" w:rsidRDefault="000B4171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I conti coprono il periodo contabile e comprendono, per ciascun fondo, le seguenti appendici: </w:t>
      </w:r>
    </w:p>
    <w:p w14:paraId="7BCA3EFF" w14:textId="77777777" w:rsidR="000B4171" w:rsidRPr="009901EE" w:rsidRDefault="000B4171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b/>
          <w:color w:val="000000"/>
          <w:sz w:val="24"/>
          <w:szCs w:val="24"/>
        </w:rPr>
        <w:t>appendice 1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: importi registrati nei sistemi contabili dell’autorità di certificazione; </w:t>
      </w:r>
    </w:p>
    <w:p w14:paraId="18DFB487" w14:textId="77777777" w:rsidR="000B4171" w:rsidRPr="009901EE" w:rsidRDefault="000B4171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b/>
          <w:color w:val="000000"/>
          <w:sz w:val="24"/>
          <w:szCs w:val="24"/>
        </w:rPr>
        <w:t>appendice 2</w:t>
      </w:r>
      <w:r w:rsidR="00CB0CEA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: importi ritirati e 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>recuperati</w:t>
      </w:r>
      <w:r w:rsidR="00CB0CEA"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 durante il 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periodo contabile; </w:t>
      </w:r>
    </w:p>
    <w:p w14:paraId="591D5B36" w14:textId="77777777" w:rsidR="000B4171" w:rsidRPr="009901EE" w:rsidRDefault="000B4171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b/>
          <w:color w:val="000000"/>
          <w:sz w:val="24"/>
          <w:szCs w:val="24"/>
        </w:rPr>
        <w:t>appendice 3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: importi da recuperare alla chiusura del periodo contabile; </w:t>
      </w:r>
    </w:p>
    <w:p w14:paraId="5640FAFC" w14:textId="77777777" w:rsidR="000B4171" w:rsidRPr="009901EE" w:rsidRDefault="000B4171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b/>
          <w:color w:val="000000"/>
          <w:sz w:val="24"/>
          <w:szCs w:val="24"/>
        </w:rPr>
        <w:t>appendice 4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  <w:r w:rsidR="00CB0CEA" w:rsidRPr="009901EE">
        <w:rPr>
          <w:rFonts w:asciiTheme="majorHAnsi" w:hAnsiTheme="majorHAnsi" w:cstheme="majorHAnsi"/>
          <w:color w:val="000000"/>
          <w:sz w:val="24"/>
          <w:szCs w:val="24"/>
        </w:rPr>
        <w:t>importi irrecuperabili alla chiusura del periodo contabile</w:t>
      </w:r>
    </w:p>
    <w:p w14:paraId="15E9839F" w14:textId="77777777" w:rsidR="000B4171" w:rsidRPr="009901EE" w:rsidRDefault="000B4171" w:rsidP="007F6D9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firstLine="42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b/>
          <w:color w:val="000000"/>
          <w:sz w:val="24"/>
          <w:szCs w:val="24"/>
        </w:rPr>
        <w:t>appendice 5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  <w:r w:rsidR="00CB0CEA" w:rsidRPr="009901EE">
        <w:rPr>
          <w:rFonts w:asciiTheme="majorHAnsi" w:hAnsiTheme="majorHAnsi" w:cstheme="majorHAnsi"/>
          <w:color w:val="000000"/>
          <w:sz w:val="24"/>
          <w:szCs w:val="24"/>
        </w:rPr>
        <w:t>riconciliazione delle spese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; </w:t>
      </w:r>
    </w:p>
    <w:p w14:paraId="3A6B17B8" w14:textId="77777777" w:rsidR="008509D9" w:rsidRPr="009901EE" w:rsidRDefault="000B4171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In particolare, l’AdA </w:t>
      </w:r>
      <w:r w:rsidR="008509D9" w:rsidRPr="009901EE">
        <w:rPr>
          <w:rFonts w:asciiTheme="majorHAnsi" w:hAnsiTheme="majorHAnsi" w:cstheme="majorHAnsi"/>
          <w:sz w:val="24"/>
          <w:szCs w:val="24"/>
        </w:rPr>
        <w:t xml:space="preserve">ha </w:t>
      </w:r>
      <w:r w:rsidRPr="009901EE">
        <w:rPr>
          <w:rFonts w:asciiTheme="majorHAnsi" w:hAnsiTheme="majorHAnsi" w:cstheme="majorHAnsi"/>
          <w:sz w:val="24"/>
          <w:szCs w:val="24"/>
        </w:rPr>
        <w:t>proceduto a verificare</w:t>
      </w:r>
      <w:r w:rsidR="008509D9" w:rsidRPr="009901EE">
        <w:rPr>
          <w:rFonts w:asciiTheme="majorHAnsi" w:hAnsiTheme="majorHAnsi" w:cstheme="majorHAnsi"/>
          <w:sz w:val="24"/>
          <w:szCs w:val="24"/>
        </w:rPr>
        <w:t xml:space="preserve"> che:</w:t>
      </w:r>
    </w:p>
    <w:p w14:paraId="3979C716" w14:textId="1FCF863F" w:rsidR="008509D9" w:rsidRDefault="008509D9" w:rsidP="007F6D93">
      <w:pPr>
        <w:numPr>
          <w:ilvl w:val="0"/>
          <w:numId w:val="3"/>
        </w:numPr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con riguardo all’</w:t>
      </w:r>
      <w:r w:rsidRPr="009901EE">
        <w:rPr>
          <w:rFonts w:asciiTheme="majorHAnsi" w:hAnsiTheme="majorHAnsi" w:cstheme="majorHAnsi"/>
          <w:b/>
          <w:sz w:val="24"/>
          <w:szCs w:val="24"/>
        </w:rPr>
        <w:t xml:space="preserve">appendice 1 </w:t>
      </w:r>
      <w:r w:rsidR="009058F9">
        <w:rPr>
          <w:rFonts w:asciiTheme="majorHAnsi" w:hAnsiTheme="majorHAnsi" w:cstheme="majorHAnsi"/>
          <w:b/>
          <w:sz w:val="24"/>
          <w:szCs w:val="24"/>
        </w:rPr>
        <w:t xml:space="preserve">dei conti </w:t>
      </w:r>
      <w:r w:rsidRPr="009901EE">
        <w:rPr>
          <w:rFonts w:asciiTheme="majorHAnsi" w:hAnsiTheme="majorHAnsi" w:cstheme="majorHAnsi"/>
          <w:sz w:val="24"/>
          <w:szCs w:val="24"/>
        </w:rPr>
        <w:t>(</w:t>
      </w:r>
      <w:r w:rsidR="009058F9">
        <w:rPr>
          <w:rFonts w:asciiTheme="majorHAnsi" w:hAnsiTheme="majorHAnsi" w:cstheme="majorHAnsi"/>
          <w:sz w:val="24"/>
          <w:szCs w:val="24"/>
        </w:rPr>
        <w:t>articolo 49,</w:t>
      </w:r>
      <w:r w:rsidR="00F912D0">
        <w:rPr>
          <w:rFonts w:asciiTheme="majorHAnsi" w:hAnsiTheme="majorHAnsi" w:cstheme="majorHAnsi"/>
          <w:sz w:val="24"/>
          <w:szCs w:val="24"/>
        </w:rPr>
        <w:t xml:space="preserve"> </w:t>
      </w:r>
      <w:r w:rsidR="009058F9">
        <w:rPr>
          <w:rFonts w:asciiTheme="majorHAnsi" w:hAnsiTheme="majorHAnsi" w:cstheme="majorHAnsi"/>
          <w:sz w:val="24"/>
          <w:szCs w:val="24"/>
        </w:rPr>
        <w:t>paragrafo</w:t>
      </w:r>
      <w:r w:rsidR="00F912D0">
        <w:rPr>
          <w:rFonts w:asciiTheme="majorHAnsi" w:hAnsiTheme="majorHAnsi" w:cstheme="majorHAnsi"/>
          <w:sz w:val="24"/>
          <w:szCs w:val="24"/>
        </w:rPr>
        <w:t xml:space="preserve"> </w:t>
      </w:r>
      <w:r w:rsidR="009058F9">
        <w:rPr>
          <w:rFonts w:asciiTheme="majorHAnsi" w:hAnsiTheme="majorHAnsi" w:cstheme="majorHAnsi"/>
          <w:sz w:val="24"/>
          <w:szCs w:val="24"/>
        </w:rPr>
        <w:t xml:space="preserve">1, lettera a), del </w:t>
      </w:r>
      <w:r w:rsidR="00E94820">
        <w:rPr>
          <w:rFonts w:asciiTheme="majorHAnsi" w:hAnsiTheme="majorHAnsi" w:cstheme="majorHAnsi"/>
          <w:sz w:val="24"/>
          <w:szCs w:val="24"/>
        </w:rPr>
        <w:t>R</w:t>
      </w:r>
      <w:r w:rsidR="009058F9">
        <w:rPr>
          <w:rFonts w:asciiTheme="majorHAnsi" w:hAnsiTheme="majorHAnsi" w:cstheme="majorHAnsi"/>
          <w:sz w:val="24"/>
          <w:szCs w:val="24"/>
        </w:rPr>
        <w:t>egolamento (UE) n.223/2014, tale appendice contiene</w:t>
      </w:r>
      <w:r w:rsidRPr="009901EE">
        <w:rPr>
          <w:rFonts w:asciiTheme="majorHAnsi" w:hAnsiTheme="majorHAnsi" w:cstheme="majorHAnsi"/>
          <w:sz w:val="24"/>
          <w:szCs w:val="24"/>
        </w:rPr>
        <w:t>:</w:t>
      </w:r>
    </w:p>
    <w:p w14:paraId="175C751A" w14:textId="510534BF" w:rsidR="00F912D0" w:rsidRDefault="00F912D0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l’importo totale delle spese ammissibili sostenute dai beneficiari e pagate nell’attuazione delle operazioni,</w:t>
      </w:r>
    </w:p>
    <w:p w14:paraId="75C16151" w14:textId="77777777" w:rsidR="00F912D0" w:rsidRDefault="00F912D0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l’importo totale della corrispondente spesa pubblica relativa all’attuazione dell’operazioni;</w:t>
      </w:r>
    </w:p>
    <w:p w14:paraId="533C3926" w14:textId="37830C60" w:rsidR="008509D9" w:rsidRPr="00F912D0" w:rsidRDefault="00F912D0" w:rsidP="00FE62D2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F912D0">
        <w:rPr>
          <w:rFonts w:asciiTheme="majorHAnsi" w:hAnsiTheme="majorHAnsi" w:cstheme="majorHAnsi"/>
          <w:sz w:val="24"/>
          <w:szCs w:val="24"/>
        </w:rPr>
        <w:t>l’importo totale dei pagamenti corrispondenti effettuati ai beneficiari a norma dell’articolo 42, paragrafo 2, del regolamento (UE) n.223/2014;</w:t>
      </w:r>
    </w:p>
    <w:p w14:paraId="7DAEAD26" w14:textId="42A336C9" w:rsidR="00F912D0" w:rsidRPr="00F912D0" w:rsidRDefault="008509D9" w:rsidP="00F912D0">
      <w:pPr>
        <w:pStyle w:val="Paragrafoelenco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F912D0">
        <w:rPr>
          <w:rFonts w:asciiTheme="majorHAnsi" w:hAnsiTheme="majorHAnsi" w:cstheme="majorHAnsi"/>
          <w:sz w:val="24"/>
          <w:szCs w:val="24"/>
        </w:rPr>
        <w:t>con riguardo all’</w:t>
      </w:r>
      <w:r w:rsidRPr="00F912D0">
        <w:rPr>
          <w:rFonts w:asciiTheme="majorHAnsi" w:hAnsiTheme="majorHAnsi" w:cstheme="majorHAnsi"/>
          <w:b/>
          <w:sz w:val="24"/>
          <w:szCs w:val="24"/>
        </w:rPr>
        <w:t>appendice 2</w:t>
      </w:r>
      <w:r w:rsidR="009F387A">
        <w:rPr>
          <w:rFonts w:asciiTheme="majorHAnsi" w:hAnsiTheme="majorHAnsi" w:cstheme="majorHAnsi"/>
          <w:b/>
          <w:sz w:val="24"/>
          <w:szCs w:val="24"/>
        </w:rPr>
        <w:t xml:space="preserve"> dei conti</w:t>
      </w:r>
      <w:r w:rsidR="00F912D0" w:rsidRPr="00F912D0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F912D0" w:rsidRPr="00F912D0">
        <w:rPr>
          <w:rFonts w:asciiTheme="majorHAnsi" w:hAnsiTheme="majorHAnsi" w:cstheme="majorHAnsi"/>
          <w:bCs/>
          <w:sz w:val="24"/>
          <w:szCs w:val="24"/>
        </w:rPr>
        <w:t>(articolo 49, paragrafo 1, lettera b), del Regolamento</w:t>
      </w:r>
      <w:r w:rsidR="00F912D0" w:rsidRPr="00F912D0">
        <w:rPr>
          <w:rFonts w:asciiTheme="majorHAnsi" w:hAnsiTheme="majorHAnsi" w:cstheme="majorHAnsi"/>
          <w:sz w:val="24"/>
          <w:szCs w:val="24"/>
        </w:rPr>
        <w:t xml:space="preserve"> (UE) n.223/2014</w:t>
      </w:r>
      <w:r w:rsidR="009F387A">
        <w:rPr>
          <w:rFonts w:asciiTheme="majorHAnsi" w:hAnsiTheme="majorHAnsi" w:cstheme="majorHAnsi"/>
          <w:sz w:val="24"/>
          <w:szCs w:val="24"/>
        </w:rPr>
        <w:t>:</w:t>
      </w:r>
    </w:p>
    <w:p w14:paraId="0C71029F" w14:textId="25CC9E99" w:rsidR="008509D9" w:rsidRPr="009901EE" w:rsidRDefault="008509D9" w:rsidP="00F912D0">
      <w:pPr>
        <w:spacing w:line="276" w:lineRule="auto"/>
        <w:ind w:left="1135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tali appendic</w:t>
      </w:r>
      <w:r w:rsidR="00F912D0">
        <w:rPr>
          <w:rFonts w:asciiTheme="majorHAnsi" w:hAnsiTheme="majorHAnsi" w:cstheme="majorHAnsi"/>
          <w:sz w:val="24"/>
          <w:szCs w:val="24"/>
        </w:rPr>
        <w:t>e</w:t>
      </w:r>
      <w:r w:rsidRPr="009901EE">
        <w:rPr>
          <w:rFonts w:asciiTheme="majorHAnsi" w:hAnsiTheme="majorHAnsi" w:cstheme="majorHAnsi"/>
          <w:sz w:val="24"/>
          <w:szCs w:val="24"/>
        </w:rPr>
        <w:t xml:space="preserve"> cont</w:t>
      </w:r>
      <w:r w:rsidR="00F912D0">
        <w:rPr>
          <w:rFonts w:asciiTheme="majorHAnsi" w:hAnsiTheme="majorHAnsi" w:cstheme="majorHAnsi"/>
          <w:sz w:val="24"/>
          <w:szCs w:val="24"/>
        </w:rPr>
        <w:t>iene</w:t>
      </w:r>
      <w:r w:rsidRPr="009901EE">
        <w:rPr>
          <w:rFonts w:asciiTheme="majorHAnsi" w:hAnsiTheme="majorHAnsi" w:cstheme="majorHAnsi"/>
          <w:sz w:val="24"/>
          <w:szCs w:val="24"/>
        </w:rPr>
        <w:t xml:space="preserve"> importi ritirati e recuperati durante l’anno contabile</w:t>
      </w:r>
      <w:r w:rsidR="00F912D0">
        <w:rPr>
          <w:rFonts w:asciiTheme="majorHAnsi" w:hAnsiTheme="majorHAnsi" w:cstheme="majorHAnsi"/>
          <w:sz w:val="24"/>
          <w:szCs w:val="24"/>
        </w:rPr>
        <w:t xml:space="preserve">, come contabilizzati dall’Autorità di Certificazione pari </w:t>
      </w:r>
      <w:r w:rsidRPr="009901EE">
        <w:rPr>
          <w:rFonts w:asciiTheme="majorHAnsi" w:hAnsiTheme="majorHAnsi" w:cstheme="majorHAnsi"/>
          <w:b/>
          <w:sz w:val="24"/>
          <w:szCs w:val="24"/>
        </w:rPr>
        <w:t xml:space="preserve">a </w:t>
      </w:r>
      <w:proofErr w:type="spellStart"/>
      <w:r w:rsidR="00E21903">
        <w:rPr>
          <w:rFonts w:asciiTheme="majorHAnsi" w:hAnsiTheme="majorHAnsi" w:cstheme="majorHAnsi"/>
          <w:b/>
          <w:sz w:val="24"/>
          <w:szCs w:val="24"/>
        </w:rPr>
        <w:t>xxxx</w:t>
      </w:r>
      <w:proofErr w:type="spellEnd"/>
      <w:r w:rsidRPr="009901EE">
        <w:rPr>
          <w:rFonts w:asciiTheme="majorHAnsi" w:hAnsiTheme="majorHAnsi" w:cstheme="majorHAnsi"/>
          <w:sz w:val="24"/>
          <w:szCs w:val="24"/>
        </w:rPr>
        <w:t xml:space="preserve"> </w:t>
      </w:r>
      <w:r w:rsidR="00F912D0">
        <w:rPr>
          <w:rFonts w:asciiTheme="majorHAnsi" w:hAnsiTheme="majorHAnsi" w:cstheme="majorHAnsi"/>
          <w:sz w:val="24"/>
          <w:szCs w:val="24"/>
        </w:rPr>
        <w:t xml:space="preserve">e importi ritirati e recuperati durante il periodo contabile suddivisi per periodo contabile di dichiarazione delle spese corrispondenti pari a </w:t>
      </w:r>
      <w:proofErr w:type="spellStart"/>
      <w:r w:rsidR="00E21903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Pr="009901EE">
        <w:rPr>
          <w:rFonts w:asciiTheme="majorHAnsi" w:hAnsiTheme="majorHAnsi" w:cstheme="majorHAnsi"/>
          <w:sz w:val="24"/>
          <w:szCs w:val="24"/>
        </w:rPr>
        <w:t xml:space="preserve">; </w:t>
      </w:r>
    </w:p>
    <w:p w14:paraId="143AB71A" w14:textId="0661CA51" w:rsidR="008509D9" w:rsidRPr="000379B9" w:rsidRDefault="00E21903" w:rsidP="007F6D93">
      <w:pPr>
        <w:numPr>
          <w:ilvl w:val="0"/>
          <w:numId w:val="3"/>
        </w:numPr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>con riguardo all’</w:t>
      </w:r>
      <w:r w:rsidR="008509D9" w:rsidRPr="000379B9">
        <w:rPr>
          <w:rFonts w:asciiTheme="majorHAnsi" w:hAnsiTheme="majorHAnsi" w:cstheme="majorHAnsi"/>
          <w:b/>
          <w:sz w:val="24"/>
          <w:szCs w:val="24"/>
        </w:rPr>
        <w:t xml:space="preserve">appendice </w:t>
      </w:r>
      <w:r w:rsidR="008509D9" w:rsidRPr="00B217CB">
        <w:rPr>
          <w:rFonts w:asciiTheme="majorHAnsi" w:hAnsiTheme="majorHAnsi" w:cstheme="majorHAnsi"/>
          <w:b/>
          <w:sz w:val="24"/>
          <w:szCs w:val="24"/>
        </w:rPr>
        <w:t>3</w:t>
      </w:r>
      <w:r w:rsidR="009F387A" w:rsidRPr="00B217CB">
        <w:rPr>
          <w:rFonts w:asciiTheme="majorHAnsi" w:hAnsiTheme="majorHAnsi" w:cstheme="majorHAnsi"/>
          <w:b/>
          <w:sz w:val="24"/>
          <w:szCs w:val="24"/>
        </w:rPr>
        <w:t xml:space="preserve"> dei conti</w:t>
      </w:r>
      <w:r>
        <w:rPr>
          <w:rFonts w:asciiTheme="majorHAnsi" w:hAnsiTheme="majorHAnsi" w:cstheme="majorHAnsi"/>
          <w:sz w:val="24"/>
          <w:szCs w:val="24"/>
        </w:rPr>
        <w:t xml:space="preserve"> (articolo 49, paragrafo 1, lettera b), del Regolamento (UE) n.223/2014</w:t>
      </w:r>
      <w:r w:rsidR="009F387A">
        <w:rPr>
          <w:rFonts w:asciiTheme="majorHAnsi" w:hAnsiTheme="majorHAnsi" w:cstheme="majorHAnsi"/>
          <w:sz w:val="24"/>
          <w:szCs w:val="24"/>
        </w:rPr>
        <w:t>:</w:t>
      </w:r>
    </w:p>
    <w:p w14:paraId="2B8F2861" w14:textId="7F265F84" w:rsidR="008509D9" w:rsidRDefault="00E21903" w:rsidP="00FE62D2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E21903">
        <w:rPr>
          <w:rFonts w:asciiTheme="majorHAnsi" w:hAnsiTheme="majorHAnsi" w:cstheme="majorHAnsi"/>
          <w:sz w:val="24"/>
          <w:szCs w:val="24"/>
        </w:rPr>
        <w:t xml:space="preserve">tale appendice </w:t>
      </w:r>
      <w:r w:rsidR="008509D9" w:rsidRPr="00E21903">
        <w:rPr>
          <w:rFonts w:asciiTheme="majorHAnsi" w:hAnsiTheme="majorHAnsi" w:cstheme="majorHAnsi"/>
          <w:sz w:val="24"/>
          <w:szCs w:val="24"/>
        </w:rPr>
        <w:t xml:space="preserve">contiene </w:t>
      </w:r>
      <w:r w:rsidRPr="00E21903">
        <w:rPr>
          <w:rFonts w:asciiTheme="majorHAnsi" w:hAnsiTheme="majorHAnsi" w:cstheme="majorHAnsi"/>
          <w:sz w:val="24"/>
          <w:szCs w:val="24"/>
        </w:rPr>
        <w:t xml:space="preserve">importi suddivisi per natura della spesa, come contabilizzati dall’Autorità di Certificazione pari a </w:t>
      </w:r>
      <w:proofErr w:type="spellStart"/>
      <w:r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Pr="00E21903">
        <w:rPr>
          <w:rFonts w:asciiTheme="majorHAnsi" w:hAnsiTheme="majorHAnsi" w:cstheme="majorHAnsi"/>
          <w:sz w:val="24"/>
          <w:szCs w:val="24"/>
        </w:rPr>
        <w:t xml:space="preserve"> e importi da recuperare alla chiusura del periodo contabile suddivisi per periodo contabile di dichiarazione delle spese corrispondenti pari a </w:t>
      </w:r>
      <w:proofErr w:type="spellStart"/>
      <w:r w:rsidRPr="00E21903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Pr="00E21903">
        <w:rPr>
          <w:rFonts w:asciiTheme="majorHAnsi" w:hAnsiTheme="majorHAnsi" w:cstheme="majorHAnsi"/>
          <w:sz w:val="24"/>
          <w:szCs w:val="24"/>
        </w:rPr>
        <w:t>;</w:t>
      </w:r>
      <w:r w:rsidR="008509D9" w:rsidRPr="00E21903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D80ED60" w14:textId="1809E9D2" w:rsidR="00E21903" w:rsidRDefault="00E21903" w:rsidP="007F6D93">
      <w:pPr>
        <w:numPr>
          <w:ilvl w:val="0"/>
          <w:numId w:val="3"/>
        </w:numPr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con riguardo all’appendice 4 </w:t>
      </w:r>
      <w:r w:rsidR="009F387A">
        <w:rPr>
          <w:rFonts w:asciiTheme="majorHAnsi" w:hAnsiTheme="majorHAnsi" w:cstheme="majorHAnsi"/>
          <w:sz w:val="24"/>
          <w:szCs w:val="24"/>
        </w:rPr>
        <w:t xml:space="preserve">dei conti </w:t>
      </w:r>
      <w:r>
        <w:rPr>
          <w:rFonts w:asciiTheme="majorHAnsi" w:hAnsiTheme="majorHAnsi" w:cstheme="majorHAnsi"/>
          <w:sz w:val="24"/>
          <w:szCs w:val="24"/>
        </w:rPr>
        <w:t>(articolo 49, paragrafo 1, lettera b), del Regolamento (UE) n.223/2014 :</w:t>
      </w:r>
    </w:p>
    <w:p w14:paraId="692E89DB" w14:textId="53D7593D" w:rsidR="00E21903" w:rsidRDefault="00E21903" w:rsidP="00E2190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E21903">
        <w:rPr>
          <w:rFonts w:asciiTheme="majorHAnsi" w:hAnsiTheme="majorHAnsi" w:cstheme="majorHAnsi"/>
          <w:sz w:val="24"/>
          <w:szCs w:val="24"/>
        </w:rPr>
        <w:t xml:space="preserve">tale appendice contiene importi </w:t>
      </w:r>
      <w:r>
        <w:rPr>
          <w:rFonts w:asciiTheme="majorHAnsi" w:hAnsiTheme="majorHAnsi" w:cstheme="majorHAnsi"/>
          <w:sz w:val="24"/>
          <w:szCs w:val="24"/>
        </w:rPr>
        <w:t xml:space="preserve">irrecuperabili alla chiusura del periodo contabile pari a </w:t>
      </w:r>
      <w:proofErr w:type="spellStart"/>
      <w:r>
        <w:rPr>
          <w:rFonts w:asciiTheme="majorHAnsi" w:hAnsiTheme="majorHAnsi" w:cstheme="majorHAnsi"/>
          <w:sz w:val="24"/>
          <w:szCs w:val="24"/>
        </w:rPr>
        <w:t>xxxx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e importi </w:t>
      </w:r>
      <w:r w:rsidRPr="00E21903">
        <w:rPr>
          <w:rFonts w:asciiTheme="majorHAnsi" w:hAnsiTheme="majorHAnsi" w:cstheme="majorHAnsi"/>
          <w:sz w:val="24"/>
          <w:szCs w:val="24"/>
        </w:rPr>
        <w:t xml:space="preserve">suddivisi per natura della spesa, come contabilizzati dall’Autorità di Certificazione pari a </w:t>
      </w:r>
      <w:proofErr w:type="spellStart"/>
      <w:r>
        <w:rPr>
          <w:rFonts w:asciiTheme="majorHAnsi" w:hAnsiTheme="majorHAnsi" w:cstheme="majorHAnsi"/>
          <w:sz w:val="24"/>
          <w:szCs w:val="24"/>
        </w:rPr>
        <w:t>xxxx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E21903">
        <w:rPr>
          <w:rFonts w:asciiTheme="majorHAnsi" w:hAnsiTheme="majorHAnsi" w:cstheme="majorHAnsi"/>
          <w:sz w:val="24"/>
          <w:szCs w:val="24"/>
        </w:rPr>
        <w:t>;</w:t>
      </w:r>
    </w:p>
    <w:p w14:paraId="2E0CD31A" w14:textId="35ED222F" w:rsidR="008509D9" w:rsidRPr="009901EE" w:rsidRDefault="008509D9" w:rsidP="007F6D93">
      <w:pPr>
        <w:numPr>
          <w:ilvl w:val="0"/>
          <w:numId w:val="3"/>
        </w:numPr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con riguardo all’</w:t>
      </w:r>
      <w:r w:rsidR="00A301AE" w:rsidRPr="009901EE">
        <w:rPr>
          <w:rFonts w:asciiTheme="majorHAnsi" w:hAnsiTheme="majorHAnsi" w:cstheme="majorHAnsi"/>
          <w:b/>
          <w:sz w:val="24"/>
          <w:szCs w:val="24"/>
        </w:rPr>
        <w:t>appendice 5</w:t>
      </w:r>
      <w:r w:rsidRPr="00B217CB">
        <w:rPr>
          <w:rFonts w:asciiTheme="majorHAnsi" w:hAnsiTheme="majorHAnsi" w:cstheme="majorHAnsi"/>
          <w:b/>
          <w:bCs/>
          <w:sz w:val="24"/>
          <w:szCs w:val="24"/>
        </w:rPr>
        <w:t xml:space="preserve"> dei conti</w:t>
      </w:r>
      <w:r w:rsidR="00E21903">
        <w:rPr>
          <w:rFonts w:asciiTheme="majorHAnsi" w:hAnsiTheme="majorHAnsi" w:cstheme="majorHAnsi"/>
          <w:sz w:val="24"/>
          <w:szCs w:val="24"/>
        </w:rPr>
        <w:t xml:space="preserve"> </w:t>
      </w:r>
      <w:r w:rsidR="009F387A">
        <w:rPr>
          <w:rFonts w:asciiTheme="majorHAnsi" w:hAnsiTheme="majorHAnsi" w:cstheme="majorHAnsi"/>
          <w:sz w:val="24"/>
          <w:szCs w:val="24"/>
        </w:rPr>
        <w:t>(</w:t>
      </w:r>
      <w:r w:rsidR="00E21903">
        <w:rPr>
          <w:rFonts w:asciiTheme="majorHAnsi" w:hAnsiTheme="majorHAnsi" w:cstheme="majorHAnsi"/>
          <w:sz w:val="24"/>
          <w:szCs w:val="24"/>
        </w:rPr>
        <w:t>articolo 49, paragrafo 1, lettera b), del Regolamento (UE) n.223/2014</w:t>
      </w:r>
      <w:r w:rsidRPr="009901EE">
        <w:rPr>
          <w:rFonts w:asciiTheme="majorHAnsi" w:hAnsiTheme="majorHAnsi" w:cstheme="majorHAnsi"/>
          <w:sz w:val="24"/>
          <w:szCs w:val="24"/>
        </w:rPr>
        <w:t>:</w:t>
      </w:r>
    </w:p>
    <w:p w14:paraId="40F41587" w14:textId="65452D4E" w:rsidR="009F387A" w:rsidRDefault="009F387A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E21903">
        <w:rPr>
          <w:rFonts w:asciiTheme="majorHAnsi" w:hAnsiTheme="majorHAnsi" w:cstheme="majorHAnsi"/>
          <w:sz w:val="24"/>
          <w:szCs w:val="24"/>
        </w:rPr>
        <w:t>tale appendice contiene importi</w:t>
      </w:r>
      <w:r>
        <w:rPr>
          <w:rFonts w:asciiTheme="majorHAnsi" w:hAnsiTheme="majorHAnsi" w:cstheme="majorHAnsi"/>
          <w:sz w:val="24"/>
          <w:szCs w:val="24"/>
        </w:rPr>
        <w:t xml:space="preserve"> suddivisi per natura della spesa, </w:t>
      </w:r>
      <w:r w:rsidRPr="00E21903">
        <w:rPr>
          <w:rFonts w:asciiTheme="majorHAnsi" w:hAnsiTheme="majorHAnsi" w:cstheme="majorHAnsi"/>
          <w:sz w:val="24"/>
          <w:szCs w:val="24"/>
        </w:rPr>
        <w:t xml:space="preserve">come contabilizzati dall’Autorità di Certificazione pari a </w:t>
      </w:r>
      <w:proofErr w:type="spellStart"/>
      <w:r>
        <w:rPr>
          <w:rFonts w:asciiTheme="majorHAnsi" w:hAnsiTheme="majorHAnsi" w:cstheme="majorHAnsi"/>
          <w:sz w:val="24"/>
          <w:szCs w:val="24"/>
        </w:rPr>
        <w:t>xxxx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come importo spesa totale </w:t>
      </w:r>
      <w:proofErr w:type="spellStart"/>
      <w:r>
        <w:rPr>
          <w:rFonts w:asciiTheme="majorHAnsi" w:hAnsiTheme="majorHAnsi" w:cstheme="majorHAnsi"/>
          <w:sz w:val="24"/>
          <w:szCs w:val="24"/>
        </w:rPr>
        <w:t>ammisisbile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inclusa nelle domande di pagamento presentate alla Commissione;</w:t>
      </w:r>
    </w:p>
    <w:p w14:paraId="4E04550E" w14:textId="4098804B" w:rsidR="009F387A" w:rsidRDefault="009F387A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spesa dichiarata conformemente all’articolo 49) paragrafo 1, lettera a) del </w:t>
      </w:r>
      <w:r w:rsidR="00B217CB">
        <w:rPr>
          <w:rFonts w:asciiTheme="majorHAnsi" w:hAnsiTheme="majorHAnsi" w:cstheme="majorHAnsi"/>
          <w:sz w:val="24"/>
          <w:szCs w:val="24"/>
        </w:rPr>
        <w:t>R</w:t>
      </w:r>
      <w:r>
        <w:rPr>
          <w:rFonts w:asciiTheme="majorHAnsi" w:hAnsiTheme="majorHAnsi" w:cstheme="majorHAnsi"/>
          <w:sz w:val="24"/>
          <w:szCs w:val="24"/>
        </w:rPr>
        <w:t xml:space="preserve">egolamento (UE) n.223/2014 pari a </w:t>
      </w:r>
      <w:proofErr w:type="spellStart"/>
      <w:r>
        <w:rPr>
          <w:rFonts w:asciiTheme="majorHAnsi" w:hAnsiTheme="majorHAnsi" w:cstheme="majorHAnsi"/>
          <w:sz w:val="24"/>
          <w:szCs w:val="24"/>
        </w:rPr>
        <w:t>xxxx</w:t>
      </w:r>
      <w:proofErr w:type="spellEnd"/>
    </w:p>
    <w:p w14:paraId="74E82FBD" w14:textId="2C2378BE" w:rsidR="009F387A" w:rsidRDefault="009F387A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differenze pari a </w:t>
      </w:r>
      <w:proofErr w:type="spellStart"/>
      <w:r>
        <w:rPr>
          <w:rFonts w:asciiTheme="majorHAnsi" w:hAnsiTheme="majorHAnsi" w:cstheme="majorHAnsi"/>
          <w:sz w:val="24"/>
          <w:szCs w:val="24"/>
        </w:rPr>
        <w:t>xxxx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relativi a: </w:t>
      </w:r>
    </w:p>
    <w:p w14:paraId="662D321A" w14:textId="706EC9F2" w:rsidR="00B462F4" w:rsidRPr="009901EE" w:rsidRDefault="008509D9" w:rsidP="009F387A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In definitiva, l</w:t>
      </w:r>
      <w:r w:rsidR="00B462F4" w:rsidRPr="009901EE">
        <w:rPr>
          <w:rFonts w:asciiTheme="majorHAnsi" w:hAnsiTheme="majorHAnsi" w:cstheme="majorHAnsi"/>
          <w:sz w:val="24"/>
          <w:szCs w:val="24"/>
        </w:rPr>
        <w:t>e verifiche effettuate</w:t>
      </w:r>
      <w:r w:rsidR="00B87B1E" w:rsidRPr="009901EE">
        <w:rPr>
          <w:rFonts w:asciiTheme="majorHAnsi" w:hAnsiTheme="majorHAnsi" w:cstheme="majorHAnsi"/>
          <w:sz w:val="24"/>
          <w:szCs w:val="24"/>
        </w:rPr>
        <w:t xml:space="preserve"> dall’</w:t>
      </w:r>
      <w:r w:rsidR="00B66867" w:rsidRPr="009901EE">
        <w:rPr>
          <w:rFonts w:asciiTheme="majorHAnsi" w:hAnsiTheme="majorHAnsi" w:cstheme="majorHAnsi"/>
          <w:sz w:val="24"/>
          <w:szCs w:val="24"/>
        </w:rPr>
        <w:t>AdA</w:t>
      </w:r>
      <w:r w:rsidR="00B462F4" w:rsidRPr="009901EE">
        <w:rPr>
          <w:rFonts w:asciiTheme="majorHAnsi" w:hAnsiTheme="majorHAnsi" w:cstheme="majorHAnsi"/>
          <w:sz w:val="24"/>
          <w:szCs w:val="24"/>
        </w:rPr>
        <w:t xml:space="preserve"> sui conti predisposti dall’AdC hanno riguardato principalmente</w:t>
      </w:r>
      <w:r w:rsidR="00B66867" w:rsidRPr="009901EE">
        <w:rPr>
          <w:rFonts w:asciiTheme="majorHAnsi" w:hAnsiTheme="majorHAnsi" w:cstheme="majorHAnsi"/>
          <w:sz w:val="24"/>
          <w:szCs w:val="24"/>
        </w:rPr>
        <w:t xml:space="preserve"> i seguenti aspetti</w:t>
      </w:r>
      <w:r w:rsidR="00B462F4" w:rsidRPr="009901EE">
        <w:rPr>
          <w:rFonts w:asciiTheme="majorHAnsi" w:hAnsiTheme="majorHAnsi" w:cstheme="majorHAnsi"/>
          <w:sz w:val="24"/>
          <w:szCs w:val="24"/>
        </w:rPr>
        <w:t>:</w:t>
      </w:r>
    </w:p>
    <w:p w14:paraId="6EE80FF2" w14:textId="13B74194" w:rsidR="00B462F4" w:rsidRPr="009901EE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il rispetto della tempistica definita per la predisposizione e trasmissione dei conti all’AdA, allo scopo di garantire la sua presentazione alla Commissione entro </w:t>
      </w:r>
      <w:r w:rsidR="000379B9">
        <w:rPr>
          <w:rFonts w:asciiTheme="majorHAnsi" w:hAnsiTheme="majorHAnsi" w:cstheme="majorHAnsi"/>
          <w:sz w:val="24"/>
          <w:szCs w:val="24"/>
        </w:rPr>
        <w:t>…..</w:t>
      </w:r>
      <w:r w:rsidRPr="009901EE">
        <w:rPr>
          <w:rFonts w:asciiTheme="majorHAnsi" w:hAnsiTheme="majorHAnsi" w:cstheme="majorHAnsi"/>
          <w:sz w:val="24"/>
          <w:szCs w:val="24"/>
        </w:rPr>
        <w:t>;</w:t>
      </w:r>
    </w:p>
    <w:p w14:paraId="57B8A475" w14:textId="77777777" w:rsidR="00B462F4" w:rsidRPr="009901EE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il livello di dettaglio e di aggregazione dei dati indicati all'interno dei conti (a livello di ciascuna priorità e, se del caso, a livello di ogni fondo e categoria di regioni);</w:t>
      </w:r>
    </w:p>
    <w:p w14:paraId="618A0BEC" w14:textId="77777777" w:rsidR="00B462F4" w:rsidRPr="009901EE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la corretta predisposizione dei conti secondo il</w:t>
      </w:r>
      <w:r w:rsidR="00B87B1E" w:rsidRPr="009901EE">
        <w:rPr>
          <w:rFonts w:asciiTheme="majorHAnsi" w:hAnsiTheme="majorHAnsi" w:cstheme="majorHAnsi"/>
          <w:sz w:val="24"/>
          <w:szCs w:val="24"/>
        </w:rPr>
        <w:t xml:space="preserve"> modello di cui all'allegato V del Reg. 341/2015</w:t>
      </w:r>
      <w:r w:rsidRPr="009901EE">
        <w:rPr>
          <w:rFonts w:asciiTheme="majorHAnsi" w:hAnsiTheme="majorHAnsi" w:cstheme="majorHAnsi"/>
          <w:sz w:val="24"/>
          <w:szCs w:val="24"/>
        </w:rPr>
        <w:t>;</w:t>
      </w:r>
    </w:p>
    <w:p w14:paraId="07F83A66" w14:textId="77777777" w:rsidR="00B462F4" w:rsidRPr="009901EE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la completezza dei dati contenuti nei conti;</w:t>
      </w:r>
    </w:p>
    <w:p w14:paraId="58E5107A" w14:textId="77777777" w:rsidR="00B462F4" w:rsidRPr="009901EE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l’adeguata conservazione dei documenti sottostanti la predisposizione dei conti;</w:t>
      </w:r>
    </w:p>
    <w:p w14:paraId="66B605B7" w14:textId="77777777" w:rsidR="00B462F4" w:rsidRPr="009901EE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lastRenderedPageBreak/>
        <w:t>la corrispondenza tra l'importo totale delle spese ammissibili registrato dall'autorità di certificazione nei propri sistemi cont</w:t>
      </w:r>
      <w:r w:rsidR="00B87B1E" w:rsidRPr="009901EE">
        <w:rPr>
          <w:rFonts w:asciiTheme="majorHAnsi" w:hAnsiTheme="majorHAnsi" w:cstheme="majorHAnsi"/>
          <w:sz w:val="24"/>
          <w:szCs w:val="24"/>
        </w:rPr>
        <w:t>abili (a norma dell'articolo 49</w:t>
      </w:r>
      <w:r w:rsidRPr="009901EE">
        <w:rPr>
          <w:rFonts w:asciiTheme="majorHAnsi" w:hAnsiTheme="majorHAnsi" w:cstheme="majorHAnsi"/>
          <w:sz w:val="24"/>
          <w:szCs w:val="24"/>
        </w:rPr>
        <w:t>, paragrafo 1, lettera a), del regolamento (UE) n.</w:t>
      </w:r>
      <w:r w:rsidR="00B87B1E" w:rsidRPr="009901EE">
        <w:rPr>
          <w:rFonts w:asciiTheme="majorHAnsi" w:hAnsiTheme="majorHAnsi" w:cstheme="majorHAnsi"/>
          <w:sz w:val="24"/>
          <w:szCs w:val="24"/>
        </w:rPr>
        <w:t xml:space="preserve"> 223/2014</w:t>
      </w:r>
      <w:r w:rsidRPr="009901EE">
        <w:rPr>
          <w:rFonts w:asciiTheme="majorHAnsi" w:hAnsiTheme="majorHAnsi" w:cstheme="majorHAnsi"/>
          <w:sz w:val="24"/>
          <w:szCs w:val="24"/>
        </w:rPr>
        <w:t>) e le spese e il relativo contributo pubblico che configurano all'interno delle domande di pagamento presentate alla Commissione, entro il 31 luglio successivo alla fine del periodo contabile;</w:t>
      </w:r>
    </w:p>
    <w:p w14:paraId="70061ECF" w14:textId="77777777" w:rsidR="00B462F4" w:rsidRPr="009901EE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la corrispondenza tra gli importi ritirati, recuperati, da recuperare, non recuperabili e i recuperi effettuati, riportati nei conti, e gli importi iscritti nei sistemi contabili dell'autorità di certificazione;</w:t>
      </w:r>
    </w:p>
    <w:p w14:paraId="35D8E987" w14:textId="77777777" w:rsidR="00B462F4" w:rsidRPr="009901EE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l’accuratezza e la veridicità dei dati contenuti nei conti;</w:t>
      </w:r>
    </w:p>
    <w:p w14:paraId="5D83C379" w14:textId="77777777" w:rsidR="00B462F4" w:rsidRPr="009901EE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l’eventuale esclusione di alcune spese dai conti, previamente incluse in una domanda di pagamento intermedio e le relative motivazioni;</w:t>
      </w:r>
    </w:p>
    <w:p w14:paraId="22EED439" w14:textId="6E963E14" w:rsidR="00B462F4" w:rsidRPr="000379B9" w:rsidRDefault="00B462F4" w:rsidP="007F6D93">
      <w:pPr>
        <w:numPr>
          <w:ilvl w:val="0"/>
          <w:numId w:val="4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0379B9">
        <w:rPr>
          <w:rFonts w:asciiTheme="majorHAnsi" w:hAnsiTheme="majorHAnsi" w:cstheme="majorHAnsi"/>
          <w:sz w:val="24"/>
          <w:szCs w:val="24"/>
        </w:rPr>
        <w:t xml:space="preserve">la completa e la corretta considerazione all’interno dei conti </w:t>
      </w:r>
      <w:r w:rsidR="007C7F9C" w:rsidRPr="000379B9">
        <w:rPr>
          <w:rFonts w:asciiTheme="majorHAnsi" w:hAnsiTheme="majorHAnsi" w:cstheme="majorHAnsi"/>
          <w:sz w:val="24"/>
          <w:szCs w:val="24"/>
        </w:rPr>
        <w:t xml:space="preserve">della rettifica individuata con il report relativo all’audit sulle operazioni comunicato con nota </w:t>
      </w:r>
      <w:r w:rsidR="000379B9">
        <w:rPr>
          <w:rFonts w:asciiTheme="majorHAnsi" w:hAnsiTheme="majorHAnsi" w:cstheme="majorHAnsi"/>
          <w:sz w:val="24"/>
          <w:szCs w:val="24"/>
        </w:rPr>
        <w:t>…..</w:t>
      </w:r>
      <w:r w:rsidR="007C7F9C" w:rsidRPr="000379B9">
        <w:rPr>
          <w:rFonts w:asciiTheme="majorHAnsi" w:hAnsiTheme="majorHAnsi" w:cstheme="majorHAnsi"/>
          <w:sz w:val="24"/>
          <w:szCs w:val="24"/>
        </w:rPr>
        <w:t xml:space="preserve"> del </w:t>
      </w:r>
      <w:r w:rsidR="000379B9">
        <w:rPr>
          <w:rFonts w:asciiTheme="majorHAnsi" w:hAnsiTheme="majorHAnsi" w:cstheme="majorHAnsi"/>
          <w:sz w:val="24"/>
          <w:szCs w:val="24"/>
        </w:rPr>
        <w:t>…..</w:t>
      </w:r>
    </w:p>
    <w:p w14:paraId="3F504B53" w14:textId="77777777" w:rsidR="00EA75C0" w:rsidRPr="009901EE" w:rsidRDefault="00EA75C0" w:rsidP="009901EE">
      <w:pPr>
        <w:spacing w:line="276" w:lineRule="auto"/>
        <w:ind w:firstLine="426"/>
        <w:jc w:val="both"/>
        <w:rPr>
          <w:rFonts w:asciiTheme="majorHAnsi" w:hAnsiTheme="majorHAnsi" w:cstheme="majorHAnsi"/>
          <w:i/>
          <w:sz w:val="24"/>
          <w:szCs w:val="24"/>
        </w:rPr>
      </w:pPr>
      <w:r w:rsidRPr="009901EE">
        <w:rPr>
          <w:rFonts w:asciiTheme="majorHAnsi" w:hAnsiTheme="majorHAnsi" w:cstheme="majorHAnsi"/>
          <w:i/>
          <w:sz w:val="24"/>
          <w:szCs w:val="24"/>
        </w:rPr>
        <w:t>Sintesi delle principali attività realizzate dall’AdA per l’audit sui conti annuali</w:t>
      </w:r>
    </w:p>
    <w:p w14:paraId="066686F9" w14:textId="77777777" w:rsidR="00EA75C0" w:rsidRPr="009901EE" w:rsidRDefault="007C7F9C" w:rsidP="007F6D93">
      <w:pPr>
        <w:numPr>
          <w:ilvl w:val="0"/>
          <w:numId w:val="6"/>
        </w:numPr>
        <w:tabs>
          <w:tab w:val="clear" w:pos="720"/>
          <w:tab w:val="left" w:pos="284"/>
        </w:tabs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Acquisizione dei </w:t>
      </w:r>
      <w:r w:rsidR="00EA75C0" w:rsidRPr="009901EE">
        <w:rPr>
          <w:rFonts w:asciiTheme="majorHAnsi" w:hAnsiTheme="majorHAnsi" w:cstheme="majorHAnsi"/>
          <w:sz w:val="24"/>
          <w:szCs w:val="24"/>
        </w:rPr>
        <w:t>conti annuali da parte dell’AdC su cui realizzare le relative verifiche;</w:t>
      </w:r>
    </w:p>
    <w:p w14:paraId="198E7742" w14:textId="77777777" w:rsidR="00EA75C0" w:rsidRPr="009901EE" w:rsidRDefault="00EA75C0" w:rsidP="007F6D93">
      <w:pPr>
        <w:numPr>
          <w:ilvl w:val="0"/>
          <w:numId w:val="6"/>
        </w:numPr>
        <w:tabs>
          <w:tab w:val="clear" w:pos="720"/>
          <w:tab w:val="left" w:pos="284"/>
        </w:tabs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V</w:t>
      </w:r>
      <w:r w:rsidR="005C00D6" w:rsidRPr="009901EE">
        <w:rPr>
          <w:rFonts w:asciiTheme="majorHAnsi" w:hAnsiTheme="majorHAnsi" w:cstheme="majorHAnsi"/>
          <w:sz w:val="24"/>
          <w:szCs w:val="24"/>
        </w:rPr>
        <w:t>erifica di eventuali</w:t>
      </w:r>
      <w:r w:rsidRPr="009901EE">
        <w:rPr>
          <w:rFonts w:asciiTheme="majorHAnsi" w:hAnsiTheme="majorHAnsi" w:cstheme="majorHAnsi"/>
          <w:sz w:val="24"/>
          <w:szCs w:val="24"/>
        </w:rPr>
        <w:t xml:space="preserve"> operazioni che sono state detratte dal bilancio in quanto: </w:t>
      </w:r>
    </w:p>
    <w:p w14:paraId="0981E317" w14:textId="77777777" w:rsidR="00EA75C0" w:rsidRPr="009901EE" w:rsidRDefault="00EA75C0" w:rsidP="007F6D93">
      <w:pPr>
        <w:numPr>
          <w:ilvl w:val="0"/>
          <w:numId w:val="7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risultanti irregolari a fronte del</w:t>
      </w:r>
      <w:r w:rsidR="0070586D" w:rsidRPr="009901EE">
        <w:rPr>
          <w:rFonts w:asciiTheme="majorHAnsi" w:hAnsiTheme="majorHAnsi" w:cstheme="majorHAnsi"/>
          <w:sz w:val="24"/>
          <w:szCs w:val="24"/>
        </w:rPr>
        <w:t xml:space="preserve"> lavoro di audit eseguito dal</w:t>
      </w:r>
      <w:r w:rsidRPr="009901EE">
        <w:rPr>
          <w:rFonts w:asciiTheme="majorHAnsi" w:hAnsiTheme="majorHAnsi" w:cstheme="majorHAnsi"/>
          <w:sz w:val="24"/>
          <w:szCs w:val="24"/>
        </w:rPr>
        <w:t>l’A</w:t>
      </w:r>
      <w:r w:rsidR="0070586D" w:rsidRPr="009901EE">
        <w:rPr>
          <w:rFonts w:asciiTheme="majorHAnsi" w:hAnsiTheme="majorHAnsi" w:cstheme="majorHAnsi"/>
          <w:sz w:val="24"/>
          <w:szCs w:val="24"/>
        </w:rPr>
        <w:t>dA</w:t>
      </w:r>
    </w:p>
    <w:p w14:paraId="56F1A11A" w14:textId="77777777" w:rsidR="00EA75C0" w:rsidRPr="009901EE" w:rsidRDefault="00EA75C0" w:rsidP="007F6D93">
      <w:pPr>
        <w:numPr>
          <w:ilvl w:val="0"/>
          <w:numId w:val="7"/>
        </w:numPr>
        <w:spacing w:line="276" w:lineRule="auto"/>
        <w:ind w:left="709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oggetto di una valutazione sulla legittimità e regolarità ancora in corso</w:t>
      </w:r>
    </w:p>
    <w:p w14:paraId="0EBE41AF" w14:textId="77777777" w:rsidR="00EA75C0" w:rsidRPr="009901EE" w:rsidRDefault="00EA75C0" w:rsidP="007F6D93">
      <w:pPr>
        <w:numPr>
          <w:ilvl w:val="0"/>
          <w:numId w:val="6"/>
        </w:numPr>
        <w:tabs>
          <w:tab w:val="clear" w:pos="720"/>
          <w:tab w:val="left" w:pos="284"/>
        </w:tabs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Correzione dei conti in caso di errori rilevati</w:t>
      </w:r>
    </w:p>
    <w:p w14:paraId="33EA84E2" w14:textId="77777777" w:rsidR="00EA75C0" w:rsidRPr="009901EE" w:rsidRDefault="00EA75C0" w:rsidP="007F6D93">
      <w:pPr>
        <w:numPr>
          <w:ilvl w:val="0"/>
          <w:numId w:val="6"/>
        </w:numPr>
        <w:tabs>
          <w:tab w:val="clear" w:pos="720"/>
          <w:tab w:val="left" w:pos="284"/>
        </w:tabs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Verifica sull’esattezza contabile delle voci di spesa certificate, degli importi ritirati, recuperati, da recuperare e non recuperabili</w:t>
      </w:r>
    </w:p>
    <w:p w14:paraId="46F88F51" w14:textId="357EA685" w:rsidR="00EA75C0" w:rsidRPr="000379B9" w:rsidRDefault="00EA75C0" w:rsidP="007F6D93">
      <w:pPr>
        <w:numPr>
          <w:ilvl w:val="0"/>
          <w:numId w:val="6"/>
        </w:numPr>
        <w:tabs>
          <w:tab w:val="clear" w:pos="720"/>
          <w:tab w:val="left" w:pos="284"/>
        </w:tabs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Verifica della corrispondenza </w:t>
      </w:r>
      <w:r w:rsidR="006037DA" w:rsidRPr="009901EE">
        <w:rPr>
          <w:rFonts w:asciiTheme="majorHAnsi" w:hAnsiTheme="majorHAnsi" w:cstheme="majorHAnsi"/>
          <w:sz w:val="24"/>
          <w:szCs w:val="24"/>
        </w:rPr>
        <w:t xml:space="preserve">dei dati relativi alla </w:t>
      </w:r>
      <w:proofErr w:type="spellStart"/>
      <w:r w:rsidR="009F387A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="006037DA" w:rsidRPr="009901EE">
        <w:rPr>
          <w:rFonts w:asciiTheme="majorHAnsi" w:hAnsiTheme="majorHAnsi" w:cstheme="majorHAnsi"/>
          <w:sz w:val="24"/>
          <w:szCs w:val="24"/>
        </w:rPr>
        <w:t xml:space="preserve"> </w:t>
      </w:r>
      <w:r w:rsidR="005C00D6" w:rsidRPr="009901EE">
        <w:rPr>
          <w:rFonts w:asciiTheme="majorHAnsi" w:hAnsiTheme="majorHAnsi" w:cstheme="majorHAnsi"/>
          <w:sz w:val="24"/>
          <w:szCs w:val="24"/>
        </w:rPr>
        <w:t xml:space="preserve">e </w:t>
      </w:r>
      <w:proofErr w:type="spellStart"/>
      <w:r w:rsidR="009F387A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="009F387A">
        <w:rPr>
          <w:rFonts w:asciiTheme="majorHAnsi" w:hAnsiTheme="majorHAnsi" w:cstheme="majorHAnsi"/>
          <w:sz w:val="24"/>
          <w:szCs w:val="24"/>
        </w:rPr>
        <w:t xml:space="preserve"> </w:t>
      </w:r>
      <w:r w:rsidR="006037DA" w:rsidRPr="009901EE">
        <w:rPr>
          <w:rFonts w:asciiTheme="majorHAnsi" w:hAnsiTheme="majorHAnsi" w:cstheme="majorHAnsi"/>
          <w:sz w:val="24"/>
          <w:szCs w:val="24"/>
        </w:rPr>
        <w:t>domanda</w:t>
      </w:r>
      <w:r w:rsidR="009F387A">
        <w:rPr>
          <w:rFonts w:asciiTheme="majorHAnsi" w:hAnsiTheme="majorHAnsi" w:cstheme="majorHAnsi"/>
          <w:sz w:val="24"/>
          <w:szCs w:val="24"/>
        </w:rPr>
        <w:t xml:space="preserve"> intermedia</w:t>
      </w:r>
      <w:r w:rsidR="006037DA" w:rsidRPr="009901EE">
        <w:rPr>
          <w:rFonts w:asciiTheme="majorHAnsi" w:hAnsiTheme="majorHAnsi" w:cstheme="majorHAnsi"/>
          <w:sz w:val="24"/>
          <w:szCs w:val="24"/>
        </w:rPr>
        <w:t xml:space="preserve"> di pagamento </w:t>
      </w:r>
      <w:r w:rsidR="009F387A">
        <w:rPr>
          <w:rFonts w:asciiTheme="majorHAnsi" w:hAnsiTheme="majorHAnsi" w:cstheme="majorHAnsi"/>
          <w:sz w:val="24"/>
          <w:szCs w:val="24"/>
        </w:rPr>
        <w:t>caricata su SFC in data 31 luglio ……</w:t>
      </w:r>
      <w:r w:rsidR="006037DA" w:rsidRPr="000379B9">
        <w:rPr>
          <w:rFonts w:asciiTheme="majorHAnsi" w:hAnsiTheme="majorHAnsi" w:cstheme="majorHAnsi"/>
          <w:sz w:val="24"/>
          <w:szCs w:val="24"/>
        </w:rPr>
        <w:t xml:space="preserve"> </w:t>
      </w:r>
      <w:r w:rsidRPr="000379B9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89EFFA0" w14:textId="77777777" w:rsidR="00646D92" w:rsidRPr="000379B9" w:rsidRDefault="00EA75C0" w:rsidP="007F6D93">
      <w:pPr>
        <w:numPr>
          <w:ilvl w:val="0"/>
          <w:numId w:val="6"/>
        </w:numPr>
        <w:tabs>
          <w:tab w:val="clear" w:pos="720"/>
          <w:tab w:val="left" w:pos="284"/>
        </w:tabs>
        <w:spacing w:line="276" w:lineRule="auto"/>
        <w:ind w:left="284" w:firstLine="426"/>
        <w:jc w:val="both"/>
        <w:rPr>
          <w:rFonts w:asciiTheme="majorHAnsi" w:hAnsiTheme="majorHAnsi" w:cstheme="majorHAnsi"/>
          <w:sz w:val="24"/>
          <w:szCs w:val="24"/>
        </w:rPr>
      </w:pPr>
      <w:r w:rsidRPr="000379B9">
        <w:rPr>
          <w:rFonts w:asciiTheme="majorHAnsi" w:hAnsiTheme="majorHAnsi" w:cstheme="majorHAnsi"/>
          <w:sz w:val="24"/>
          <w:szCs w:val="24"/>
        </w:rPr>
        <w:t>Validazione finale dei dati sottostanti registrati e predisposizione della RAC</w:t>
      </w:r>
      <w:r w:rsidR="009E2179" w:rsidRPr="000379B9">
        <w:rPr>
          <w:rFonts w:asciiTheme="majorHAnsi" w:hAnsiTheme="majorHAnsi" w:cstheme="majorHAnsi"/>
          <w:sz w:val="24"/>
          <w:szCs w:val="24"/>
        </w:rPr>
        <w:t>.</w:t>
      </w:r>
    </w:p>
    <w:p w14:paraId="16C177DE" w14:textId="17CDDE50" w:rsidR="003320FE" w:rsidRPr="009901EE" w:rsidRDefault="003320FE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Da</w:t>
      </w:r>
      <w:r w:rsidR="009F387A">
        <w:rPr>
          <w:rFonts w:asciiTheme="majorHAnsi" w:hAnsiTheme="majorHAnsi" w:cstheme="majorHAnsi"/>
          <w:sz w:val="24"/>
          <w:szCs w:val="24"/>
        </w:rPr>
        <w:t xml:space="preserve">i conti </w:t>
      </w:r>
      <w:r w:rsidRPr="009901EE">
        <w:rPr>
          <w:rFonts w:asciiTheme="majorHAnsi" w:hAnsiTheme="majorHAnsi" w:cstheme="majorHAnsi"/>
          <w:sz w:val="24"/>
          <w:szCs w:val="24"/>
        </w:rPr>
        <w:t>presentat</w:t>
      </w:r>
      <w:r w:rsidR="009F387A">
        <w:rPr>
          <w:rFonts w:asciiTheme="majorHAnsi" w:hAnsiTheme="majorHAnsi" w:cstheme="majorHAnsi"/>
          <w:sz w:val="24"/>
          <w:szCs w:val="24"/>
        </w:rPr>
        <w:t>i</w:t>
      </w:r>
      <w:r w:rsidRPr="009901EE">
        <w:rPr>
          <w:rFonts w:asciiTheme="majorHAnsi" w:hAnsiTheme="majorHAnsi" w:cstheme="majorHAnsi"/>
          <w:sz w:val="24"/>
          <w:szCs w:val="24"/>
        </w:rPr>
        <w:t xml:space="preserve"> dall’AdC per l’anno contabile </w:t>
      </w:r>
      <w:r w:rsidR="000379B9">
        <w:rPr>
          <w:rFonts w:asciiTheme="majorHAnsi" w:hAnsiTheme="majorHAnsi" w:cstheme="majorHAnsi"/>
          <w:sz w:val="24"/>
          <w:szCs w:val="24"/>
        </w:rPr>
        <w:t>…..</w:t>
      </w:r>
      <w:r w:rsidRPr="009901EE">
        <w:rPr>
          <w:rFonts w:asciiTheme="majorHAnsi" w:hAnsiTheme="majorHAnsi" w:cstheme="majorHAnsi"/>
          <w:sz w:val="24"/>
          <w:szCs w:val="24"/>
        </w:rPr>
        <w:t xml:space="preserve"> non risultano</w:t>
      </w:r>
      <w:r w:rsidR="000379B9">
        <w:rPr>
          <w:rFonts w:asciiTheme="majorHAnsi" w:hAnsiTheme="majorHAnsi" w:cstheme="majorHAnsi"/>
          <w:sz w:val="24"/>
          <w:szCs w:val="24"/>
        </w:rPr>
        <w:t>/risultano</w:t>
      </w:r>
      <w:r w:rsidRPr="009901EE">
        <w:rPr>
          <w:rFonts w:asciiTheme="majorHAnsi" w:hAnsiTheme="majorHAnsi" w:cstheme="majorHAnsi"/>
          <w:sz w:val="24"/>
          <w:szCs w:val="24"/>
        </w:rPr>
        <w:t xml:space="preserve"> spese irregolari riscontrate da</w:t>
      </w:r>
      <w:r w:rsidR="007C7F9C" w:rsidRPr="009901EE">
        <w:rPr>
          <w:rFonts w:asciiTheme="majorHAnsi" w:hAnsiTheme="majorHAnsi" w:cstheme="majorHAnsi"/>
          <w:sz w:val="24"/>
          <w:szCs w:val="24"/>
        </w:rPr>
        <w:t>ll’ AdG, dall’</w:t>
      </w:r>
      <w:r w:rsidRPr="009901EE">
        <w:rPr>
          <w:rFonts w:asciiTheme="majorHAnsi" w:hAnsiTheme="majorHAnsi" w:cstheme="majorHAnsi"/>
          <w:sz w:val="24"/>
          <w:szCs w:val="24"/>
        </w:rPr>
        <w:t xml:space="preserve"> AdC, </w:t>
      </w:r>
      <w:r w:rsidR="005C34B7" w:rsidRPr="009901EE">
        <w:rPr>
          <w:rFonts w:asciiTheme="majorHAnsi" w:hAnsiTheme="majorHAnsi" w:cstheme="majorHAnsi"/>
          <w:sz w:val="24"/>
          <w:szCs w:val="24"/>
        </w:rPr>
        <w:t xml:space="preserve">dalla </w:t>
      </w:r>
      <w:r w:rsidR="005C34B7" w:rsidRPr="009901EE">
        <w:rPr>
          <w:rFonts w:asciiTheme="majorHAnsi" w:eastAsia="Calibri" w:hAnsiTheme="majorHAnsi" w:cstheme="majorHAnsi"/>
          <w:color w:val="000000"/>
          <w:sz w:val="24"/>
          <w:szCs w:val="24"/>
        </w:rPr>
        <w:t>Commissione E</w:t>
      </w:r>
      <w:r w:rsidRPr="009901EE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uropea, </w:t>
      </w:r>
      <w:r w:rsidR="005C34B7" w:rsidRPr="009901EE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dalla </w:t>
      </w:r>
      <w:r w:rsidRPr="009901EE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Corte dei Conti europea </w:t>
      </w:r>
      <w:r w:rsidRPr="009901EE">
        <w:rPr>
          <w:rFonts w:asciiTheme="majorHAnsi" w:hAnsiTheme="majorHAnsi" w:cstheme="majorHAnsi"/>
          <w:sz w:val="24"/>
          <w:szCs w:val="24"/>
        </w:rPr>
        <w:t>e/o altre Autorità.</w:t>
      </w:r>
    </w:p>
    <w:p w14:paraId="172031DA" w14:textId="77777777" w:rsidR="003320FE" w:rsidRPr="009901EE" w:rsidRDefault="003320FE" w:rsidP="009901EE">
      <w:pPr>
        <w:widowControl w:val="0"/>
        <w:spacing w:before="40" w:after="80" w:line="276" w:lineRule="auto"/>
        <w:ind w:firstLine="426"/>
        <w:jc w:val="both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9901EE">
        <w:rPr>
          <w:rFonts w:asciiTheme="majorHAnsi" w:hAnsiTheme="majorHAnsi" w:cstheme="majorHAnsi"/>
          <w:color w:val="000000"/>
          <w:sz w:val="24"/>
          <w:szCs w:val="24"/>
        </w:rPr>
        <w:t xml:space="preserve">La verifica degli aspetti di cui sopra è stata eseguita sulla base dell’apposita check list per </w:t>
      </w:r>
      <w:r w:rsidRPr="009901EE">
        <w:rPr>
          <w:rFonts w:asciiTheme="majorHAnsi" w:hAnsiTheme="majorHAnsi" w:cstheme="majorHAnsi"/>
          <w:color w:val="000000"/>
          <w:sz w:val="24"/>
          <w:szCs w:val="24"/>
        </w:rPr>
        <w:lastRenderedPageBreak/>
        <w:t>l’audit dei conti approntata.</w:t>
      </w:r>
    </w:p>
    <w:p w14:paraId="4925467F" w14:textId="77777777" w:rsidR="00925F8E" w:rsidRPr="009901EE" w:rsidRDefault="003320FE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L’Autorità di audit ha eseguito la verifica su un campione di operazioni</w:t>
      </w:r>
      <w:r w:rsidR="00925F8E" w:rsidRPr="009901EE">
        <w:rPr>
          <w:rFonts w:asciiTheme="majorHAnsi" w:hAnsiTheme="majorHAnsi" w:cstheme="majorHAnsi"/>
          <w:sz w:val="24"/>
          <w:szCs w:val="24"/>
        </w:rPr>
        <w:t xml:space="preserve"> certificate alla CE e inserite nella bozza dei conti annuali predisposta dall'AdC.</w:t>
      </w:r>
    </w:p>
    <w:p w14:paraId="360E48DC" w14:textId="7A249FBC" w:rsidR="00750D97" w:rsidRPr="009901EE" w:rsidRDefault="000D751B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Totale</w:t>
      </w:r>
      <w:r w:rsidR="003320FE" w:rsidRPr="009901EE">
        <w:rPr>
          <w:rFonts w:asciiTheme="majorHAnsi" w:hAnsiTheme="majorHAnsi" w:cstheme="majorHAnsi"/>
          <w:sz w:val="24"/>
          <w:szCs w:val="24"/>
        </w:rPr>
        <w:t xml:space="preserve"> delle spese ammissibil</w:t>
      </w:r>
      <w:r w:rsidR="005C00D6" w:rsidRPr="009901EE">
        <w:rPr>
          <w:rFonts w:asciiTheme="majorHAnsi" w:hAnsiTheme="majorHAnsi" w:cstheme="majorHAnsi"/>
          <w:sz w:val="24"/>
          <w:szCs w:val="24"/>
        </w:rPr>
        <w:t>i registrata in SIGMA FEAD</w:t>
      </w:r>
      <w:r w:rsidR="00750D97" w:rsidRPr="009901EE">
        <w:rPr>
          <w:rFonts w:asciiTheme="majorHAnsi" w:hAnsiTheme="majorHAnsi" w:cstheme="majorHAnsi"/>
          <w:sz w:val="24"/>
          <w:szCs w:val="24"/>
        </w:rPr>
        <w:t xml:space="preserve"> (pari ad </w:t>
      </w:r>
      <w:r w:rsidR="005C34B7" w:rsidRPr="009901EE">
        <w:rPr>
          <w:rFonts w:asciiTheme="majorHAnsi" w:hAnsiTheme="majorHAnsi" w:cstheme="majorHAnsi"/>
          <w:b/>
          <w:sz w:val="24"/>
          <w:szCs w:val="24"/>
        </w:rPr>
        <w:t xml:space="preserve">euro </w:t>
      </w:r>
      <w:r w:rsidR="000379B9">
        <w:rPr>
          <w:rFonts w:asciiTheme="majorHAnsi" w:hAnsiTheme="majorHAnsi" w:cstheme="majorHAnsi"/>
          <w:b/>
          <w:sz w:val="24"/>
          <w:szCs w:val="24"/>
        </w:rPr>
        <w:t>….</w:t>
      </w:r>
      <w:r w:rsidR="00750D97" w:rsidRPr="009901EE">
        <w:rPr>
          <w:rFonts w:asciiTheme="majorHAnsi" w:hAnsiTheme="majorHAnsi" w:cstheme="majorHAnsi"/>
          <w:sz w:val="24"/>
          <w:szCs w:val="24"/>
        </w:rPr>
        <w:t xml:space="preserve">) corrispondenti al totale delle seguenti domande di pagamento: </w:t>
      </w:r>
    </w:p>
    <w:p w14:paraId="5D0DE7C7" w14:textId="1D64D0BD" w:rsidR="00750D97" w:rsidRPr="009901EE" w:rsidRDefault="003320FE" w:rsidP="007F6D93">
      <w:pPr>
        <w:numPr>
          <w:ilvl w:val="0"/>
          <w:numId w:val="11"/>
        </w:num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I</w:t>
      </w:r>
      <w:r w:rsidR="00DE5760" w:rsidRPr="009901EE">
        <w:rPr>
          <w:rFonts w:asciiTheme="majorHAnsi" w:hAnsiTheme="majorHAnsi" w:cstheme="majorHAnsi"/>
          <w:sz w:val="24"/>
          <w:szCs w:val="24"/>
        </w:rPr>
        <w:t xml:space="preserve"> domanda di pagamento (</w:t>
      </w:r>
      <w:r w:rsidR="000D751B" w:rsidRPr="009901EE">
        <w:rPr>
          <w:rFonts w:asciiTheme="majorHAnsi" w:hAnsiTheme="majorHAnsi" w:cstheme="majorHAnsi"/>
          <w:sz w:val="24"/>
          <w:szCs w:val="24"/>
        </w:rPr>
        <w:t xml:space="preserve">pari ad </w:t>
      </w:r>
      <w:r w:rsidR="000D751B" w:rsidRPr="009901EE">
        <w:rPr>
          <w:rFonts w:asciiTheme="majorHAnsi" w:hAnsiTheme="majorHAnsi" w:cstheme="majorHAnsi"/>
          <w:b/>
          <w:sz w:val="24"/>
          <w:szCs w:val="24"/>
        </w:rPr>
        <w:t xml:space="preserve">euro  </w:t>
      </w:r>
      <w:r w:rsidR="000379B9">
        <w:rPr>
          <w:rFonts w:asciiTheme="majorHAnsi" w:hAnsiTheme="majorHAnsi" w:cstheme="majorHAnsi"/>
          <w:b/>
          <w:sz w:val="24"/>
          <w:szCs w:val="24"/>
        </w:rPr>
        <w:t>…</w:t>
      </w:r>
      <w:r w:rsidR="00DE5760" w:rsidRPr="009901EE">
        <w:rPr>
          <w:rFonts w:asciiTheme="majorHAnsi" w:hAnsiTheme="majorHAnsi" w:cstheme="majorHAnsi"/>
          <w:sz w:val="24"/>
          <w:szCs w:val="24"/>
        </w:rPr>
        <w:t xml:space="preserve">) </w:t>
      </w:r>
      <w:r w:rsidR="00750D97" w:rsidRPr="009901EE">
        <w:rPr>
          <w:rFonts w:asciiTheme="majorHAnsi" w:hAnsiTheme="majorHAnsi" w:cstheme="majorHAnsi"/>
          <w:sz w:val="24"/>
          <w:szCs w:val="24"/>
        </w:rPr>
        <w:t xml:space="preserve">del </w:t>
      </w:r>
      <w:r w:rsidR="000379B9">
        <w:rPr>
          <w:rFonts w:asciiTheme="majorHAnsi" w:hAnsiTheme="majorHAnsi" w:cstheme="majorHAnsi"/>
          <w:sz w:val="24"/>
          <w:szCs w:val="24"/>
        </w:rPr>
        <w:t>….</w:t>
      </w:r>
      <w:r w:rsidR="005C34B7" w:rsidRPr="009901EE">
        <w:rPr>
          <w:rFonts w:asciiTheme="majorHAnsi" w:hAnsiTheme="majorHAnsi" w:cstheme="majorHAnsi"/>
          <w:sz w:val="24"/>
          <w:szCs w:val="24"/>
        </w:rPr>
        <w:t>;</w:t>
      </w:r>
    </w:p>
    <w:p w14:paraId="79819E8C" w14:textId="31BCEAC0" w:rsidR="009C55A1" w:rsidRPr="009901EE" w:rsidRDefault="000D751B" w:rsidP="007F6D93">
      <w:pPr>
        <w:numPr>
          <w:ilvl w:val="0"/>
          <w:numId w:val="11"/>
        </w:num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II </w:t>
      </w:r>
      <w:r w:rsidR="003320FE" w:rsidRPr="009901EE">
        <w:rPr>
          <w:rFonts w:asciiTheme="majorHAnsi" w:hAnsiTheme="majorHAnsi" w:cstheme="majorHAnsi"/>
          <w:sz w:val="24"/>
          <w:szCs w:val="24"/>
        </w:rPr>
        <w:t>domanda di pagamento</w:t>
      </w:r>
      <w:r w:rsidR="00DE5760" w:rsidRPr="009901EE">
        <w:rPr>
          <w:rFonts w:asciiTheme="majorHAnsi" w:hAnsiTheme="majorHAnsi" w:cstheme="majorHAnsi"/>
          <w:sz w:val="24"/>
          <w:szCs w:val="24"/>
        </w:rPr>
        <w:t xml:space="preserve"> (pari ad </w:t>
      </w:r>
      <w:r w:rsidR="00DE5760" w:rsidRPr="009901EE">
        <w:rPr>
          <w:rFonts w:asciiTheme="majorHAnsi" w:hAnsiTheme="majorHAnsi" w:cstheme="majorHAnsi"/>
          <w:b/>
          <w:sz w:val="24"/>
          <w:szCs w:val="24"/>
        </w:rPr>
        <w:t xml:space="preserve">euro </w:t>
      </w:r>
      <w:r w:rsidR="000379B9">
        <w:rPr>
          <w:rFonts w:asciiTheme="majorHAnsi" w:hAnsiTheme="majorHAnsi" w:cstheme="majorHAnsi"/>
          <w:b/>
          <w:sz w:val="24"/>
          <w:szCs w:val="24"/>
        </w:rPr>
        <w:t>….</w:t>
      </w:r>
      <w:r w:rsidR="00DE5760" w:rsidRPr="009901EE">
        <w:rPr>
          <w:rFonts w:asciiTheme="majorHAnsi" w:hAnsiTheme="majorHAnsi" w:cstheme="majorHAnsi"/>
          <w:sz w:val="24"/>
          <w:szCs w:val="24"/>
        </w:rPr>
        <w:t xml:space="preserve">) </w:t>
      </w:r>
      <w:r w:rsidR="00750D97" w:rsidRPr="009901EE">
        <w:rPr>
          <w:rFonts w:asciiTheme="majorHAnsi" w:hAnsiTheme="majorHAnsi" w:cstheme="majorHAnsi"/>
          <w:sz w:val="24"/>
          <w:szCs w:val="24"/>
        </w:rPr>
        <w:t xml:space="preserve">del </w:t>
      </w:r>
      <w:r w:rsidR="000379B9">
        <w:rPr>
          <w:rFonts w:asciiTheme="majorHAnsi" w:hAnsiTheme="majorHAnsi" w:cstheme="majorHAnsi"/>
          <w:sz w:val="24"/>
          <w:szCs w:val="24"/>
        </w:rPr>
        <w:t>….</w:t>
      </w:r>
      <w:r w:rsidR="003320FE" w:rsidRPr="009901EE">
        <w:rPr>
          <w:rFonts w:asciiTheme="majorHAnsi" w:hAnsiTheme="majorHAnsi" w:cstheme="majorHAnsi"/>
          <w:sz w:val="24"/>
          <w:szCs w:val="24"/>
        </w:rPr>
        <w:t xml:space="preserve"> </w:t>
      </w:r>
      <w:r w:rsidR="005C34B7" w:rsidRPr="009901EE">
        <w:rPr>
          <w:rFonts w:asciiTheme="majorHAnsi" w:hAnsiTheme="majorHAnsi" w:cstheme="majorHAnsi"/>
          <w:sz w:val="24"/>
          <w:szCs w:val="24"/>
        </w:rPr>
        <w:t>;</w:t>
      </w:r>
    </w:p>
    <w:p w14:paraId="7CAC5837" w14:textId="2E1488E5" w:rsidR="005C34B7" w:rsidRPr="009901EE" w:rsidRDefault="005C34B7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al netto degli importi non ammessi, rilevati nel rapporto di audit sulle operazioni pari ad </w:t>
      </w:r>
      <w:r w:rsidRPr="009901EE">
        <w:rPr>
          <w:rFonts w:asciiTheme="majorHAnsi" w:hAnsiTheme="majorHAnsi" w:cstheme="majorHAnsi"/>
          <w:b/>
          <w:sz w:val="24"/>
          <w:szCs w:val="24"/>
        </w:rPr>
        <w:t xml:space="preserve">euro </w:t>
      </w:r>
      <w:r w:rsidR="000379B9">
        <w:rPr>
          <w:rFonts w:asciiTheme="majorHAnsi" w:hAnsiTheme="majorHAnsi" w:cstheme="majorHAnsi"/>
          <w:b/>
          <w:sz w:val="24"/>
          <w:szCs w:val="24"/>
        </w:rPr>
        <w:t>…</w:t>
      </w:r>
      <w:r w:rsidRPr="009901EE">
        <w:rPr>
          <w:rFonts w:asciiTheme="majorHAnsi" w:hAnsiTheme="majorHAnsi" w:cstheme="majorHAnsi"/>
          <w:sz w:val="24"/>
          <w:szCs w:val="24"/>
        </w:rPr>
        <w:t>.</w:t>
      </w:r>
    </w:p>
    <w:p w14:paraId="7AC143D1" w14:textId="272A36FE" w:rsidR="00925F8E" w:rsidRPr="009901EE" w:rsidRDefault="00925F8E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Si riporta di seguito l’universo per un totale spese (pari ad </w:t>
      </w:r>
      <w:r w:rsidRPr="009901EE">
        <w:rPr>
          <w:rFonts w:asciiTheme="majorHAnsi" w:hAnsiTheme="majorHAnsi" w:cstheme="majorHAnsi"/>
          <w:b/>
          <w:sz w:val="24"/>
          <w:szCs w:val="24"/>
        </w:rPr>
        <w:t xml:space="preserve">euro </w:t>
      </w:r>
      <w:r w:rsidR="000379B9">
        <w:rPr>
          <w:rFonts w:asciiTheme="majorHAnsi" w:hAnsiTheme="majorHAnsi" w:cstheme="majorHAnsi"/>
          <w:b/>
          <w:sz w:val="24"/>
          <w:szCs w:val="24"/>
        </w:rPr>
        <w:t>….</w:t>
      </w:r>
      <w:r w:rsidRPr="009901EE">
        <w:rPr>
          <w:rFonts w:asciiTheme="majorHAnsi" w:hAnsiTheme="majorHAnsi" w:cstheme="majorHAnsi"/>
          <w:sz w:val="24"/>
          <w:szCs w:val="24"/>
        </w:rPr>
        <w:t>) delle operazioni sul quale è stato selezionato il campione:</w:t>
      </w:r>
    </w:p>
    <w:p w14:paraId="1AABF2D3" w14:textId="77777777" w:rsidR="003320FE" w:rsidRPr="009901EE" w:rsidRDefault="003320FE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</w:p>
    <w:p w14:paraId="518F512F" w14:textId="6C905C44" w:rsidR="00FD7EB5" w:rsidRPr="009901EE" w:rsidRDefault="00925F8E" w:rsidP="009901EE">
      <w:pPr>
        <w:spacing w:line="276" w:lineRule="auto"/>
        <w:ind w:firstLine="426"/>
        <w:jc w:val="both"/>
        <w:rPr>
          <w:rFonts w:asciiTheme="majorHAnsi" w:hAnsiTheme="majorHAnsi" w:cstheme="majorHAnsi"/>
          <w:b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In particolar</w:t>
      </w:r>
      <w:r w:rsidR="00F17A61" w:rsidRPr="009901EE">
        <w:rPr>
          <w:rFonts w:asciiTheme="majorHAnsi" w:hAnsiTheme="majorHAnsi" w:cstheme="majorHAnsi"/>
          <w:sz w:val="24"/>
          <w:szCs w:val="24"/>
        </w:rPr>
        <w:t xml:space="preserve">e: </w:t>
      </w:r>
      <w:r w:rsidR="00FD7EB5" w:rsidRPr="009901EE">
        <w:rPr>
          <w:rFonts w:asciiTheme="majorHAnsi" w:hAnsiTheme="majorHAnsi" w:cstheme="majorHAnsi"/>
          <w:sz w:val="24"/>
          <w:szCs w:val="24"/>
        </w:rPr>
        <w:t xml:space="preserve">sono state estratte n. </w:t>
      </w:r>
      <w:r w:rsidR="000379B9">
        <w:rPr>
          <w:rFonts w:asciiTheme="majorHAnsi" w:hAnsiTheme="majorHAnsi" w:cstheme="majorHAnsi"/>
          <w:sz w:val="24"/>
          <w:szCs w:val="24"/>
        </w:rPr>
        <w:t>…</w:t>
      </w:r>
      <w:r w:rsidR="00FD7EB5" w:rsidRPr="009901EE">
        <w:rPr>
          <w:rFonts w:asciiTheme="majorHAnsi" w:hAnsiTheme="majorHAnsi" w:cstheme="majorHAnsi"/>
          <w:sz w:val="24"/>
          <w:szCs w:val="24"/>
        </w:rPr>
        <w:t xml:space="preserve"> operazioni </w:t>
      </w:r>
      <w:r w:rsidR="000379B9">
        <w:rPr>
          <w:rFonts w:asciiTheme="majorHAnsi" w:hAnsiTheme="majorHAnsi" w:cstheme="majorHAnsi"/>
          <w:sz w:val="24"/>
          <w:szCs w:val="24"/>
        </w:rPr>
        <w:t>.</w:t>
      </w:r>
    </w:p>
    <w:p w14:paraId="2B985B10" w14:textId="392CC49A" w:rsidR="00FD7EB5" w:rsidRPr="009901EE" w:rsidRDefault="00FD7EB5" w:rsidP="009901EE">
      <w:pPr>
        <w:spacing w:after="0"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Le </w:t>
      </w:r>
      <w:r w:rsidR="000379B9">
        <w:rPr>
          <w:rFonts w:asciiTheme="majorHAnsi" w:hAnsiTheme="majorHAnsi" w:cstheme="majorHAnsi"/>
          <w:sz w:val="24"/>
          <w:szCs w:val="24"/>
        </w:rPr>
        <w:t>operazioni</w:t>
      </w:r>
      <w:r w:rsidRPr="009901EE">
        <w:rPr>
          <w:rFonts w:asciiTheme="majorHAnsi" w:hAnsiTheme="majorHAnsi" w:cstheme="majorHAnsi"/>
          <w:sz w:val="24"/>
          <w:szCs w:val="24"/>
        </w:rPr>
        <w:t xml:space="preserve"> campionate corrispondono a più lotti per l’acquisto di derrate alimentari, per un totale di </w:t>
      </w:r>
      <w:r w:rsidR="00BD1591">
        <w:rPr>
          <w:rFonts w:asciiTheme="majorHAnsi" w:hAnsiTheme="majorHAnsi" w:cstheme="majorHAnsi"/>
          <w:sz w:val="24"/>
          <w:szCs w:val="24"/>
        </w:rPr>
        <w:t>…..</w:t>
      </w:r>
      <w:r w:rsidRPr="009901EE">
        <w:rPr>
          <w:rFonts w:asciiTheme="majorHAnsi" w:hAnsiTheme="majorHAnsi" w:cstheme="majorHAnsi"/>
          <w:sz w:val="24"/>
          <w:szCs w:val="24"/>
        </w:rPr>
        <w:t xml:space="preserve"> lotti. </w:t>
      </w:r>
    </w:p>
    <w:p w14:paraId="0EEA393A" w14:textId="77777777" w:rsidR="00FD7EB5" w:rsidRPr="009901EE" w:rsidRDefault="00FD7EB5" w:rsidP="009901EE">
      <w:pPr>
        <w:spacing w:after="0"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A tal fine le verifiche hanno riguardato la verifica di tutti i lotti a cui si riferiscono le fatture campionate.  </w:t>
      </w:r>
    </w:p>
    <w:p w14:paraId="4D1C328E" w14:textId="77777777" w:rsidR="00ED41C5" w:rsidRPr="009901EE" w:rsidRDefault="00ED41C5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</w:p>
    <w:p w14:paraId="4DCC5863" w14:textId="77777777" w:rsidR="003320FE" w:rsidRPr="009901EE" w:rsidRDefault="003320FE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Per tali operazioni</w:t>
      </w:r>
      <w:r w:rsidR="00925F8E" w:rsidRPr="009901EE">
        <w:rPr>
          <w:rFonts w:asciiTheme="majorHAnsi" w:hAnsiTheme="majorHAnsi" w:cstheme="majorHAnsi"/>
          <w:sz w:val="24"/>
          <w:szCs w:val="24"/>
        </w:rPr>
        <w:t xml:space="preserve">, l'AdA ha </w:t>
      </w:r>
      <w:r w:rsidR="00FD7EB5" w:rsidRPr="009901EE">
        <w:rPr>
          <w:rFonts w:asciiTheme="majorHAnsi" w:hAnsiTheme="majorHAnsi" w:cstheme="majorHAnsi"/>
          <w:sz w:val="24"/>
          <w:szCs w:val="24"/>
        </w:rPr>
        <w:t>verificato</w:t>
      </w:r>
      <w:r w:rsidRPr="009901EE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3367AFE6" w14:textId="77777777" w:rsidR="003320FE" w:rsidRPr="00850AF2" w:rsidRDefault="003320FE" w:rsidP="007F6D93">
      <w:pPr>
        <w:numPr>
          <w:ilvl w:val="0"/>
          <w:numId w:val="8"/>
        </w:num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che l'importo totale della spesa ammissibile dichi</w:t>
      </w:r>
      <w:r w:rsidR="00FD7EB5" w:rsidRPr="009901EE">
        <w:rPr>
          <w:rFonts w:asciiTheme="majorHAnsi" w:hAnsiTheme="majorHAnsi" w:cstheme="majorHAnsi"/>
          <w:sz w:val="24"/>
          <w:szCs w:val="24"/>
        </w:rPr>
        <w:t>arata ai sensi dell'articolo 49 paragrafo</w:t>
      </w:r>
      <w:r w:rsidRPr="009901EE">
        <w:rPr>
          <w:rFonts w:asciiTheme="majorHAnsi" w:hAnsiTheme="majorHAnsi" w:cstheme="majorHAnsi"/>
          <w:sz w:val="24"/>
          <w:szCs w:val="24"/>
        </w:rPr>
        <w:t xml:space="preserve"> (1) </w:t>
      </w:r>
      <w:r w:rsidR="00FD7EB5" w:rsidRPr="009901EE">
        <w:rPr>
          <w:rFonts w:asciiTheme="majorHAnsi" w:hAnsiTheme="majorHAnsi" w:cstheme="majorHAnsi"/>
          <w:sz w:val="24"/>
          <w:szCs w:val="24"/>
        </w:rPr>
        <w:t xml:space="preserve">del Reg 223/2014 </w:t>
      </w:r>
      <w:r w:rsidRPr="009901EE">
        <w:rPr>
          <w:rFonts w:asciiTheme="majorHAnsi" w:hAnsiTheme="majorHAnsi" w:cstheme="majorHAnsi"/>
          <w:sz w:val="24"/>
          <w:szCs w:val="24"/>
        </w:rPr>
        <w:t>si riconcili con la spesa (e il corrispondente contributo pubblico) incluso nelle domande di pagamento presentate alla Commissione, come risultante dal Sistema</w:t>
      </w:r>
      <w:r w:rsidR="00FD7EB5" w:rsidRPr="009901EE">
        <w:rPr>
          <w:rFonts w:asciiTheme="majorHAnsi" w:hAnsiTheme="majorHAnsi" w:cstheme="majorHAnsi"/>
          <w:sz w:val="24"/>
          <w:szCs w:val="24"/>
        </w:rPr>
        <w:t xml:space="preserve"> Informativo SIGMA </w:t>
      </w:r>
      <w:r w:rsidR="00FD7EB5" w:rsidRPr="00850AF2">
        <w:rPr>
          <w:rFonts w:asciiTheme="majorHAnsi" w:hAnsiTheme="majorHAnsi" w:cstheme="majorHAnsi"/>
          <w:sz w:val="24"/>
          <w:szCs w:val="24"/>
        </w:rPr>
        <w:t>FEAD</w:t>
      </w:r>
      <w:r w:rsidRPr="00850AF2">
        <w:rPr>
          <w:rFonts w:asciiTheme="majorHAnsi" w:hAnsiTheme="majorHAnsi" w:cstheme="majorHAnsi"/>
          <w:sz w:val="24"/>
          <w:szCs w:val="24"/>
        </w:rPr>
        <w:t xml:space="preserve"> – Sezione certificazione delle spese – Gestione rendiconti</w:t>
      </w:r>
      <w:r w:rsidR="00075FA9" w:rsidRPr="00850AF2">
        <w:rPr>
          <w:rFonts w:asciiTheme="majorHAnsi" w:hAnsiTheme="majorHAnsi" w:cstheme="majorHAnsi"/>
          <w:sz w:val="24"/>
          <w:szCs w:val="24"/>
        </w:rPr>
        <w:t xml:space="preserve">  e  tenendo conto degli importi rettificati nei conti del periodo corrente in seguito all’audit relativo alle operazioni ai sensi dell’art 34 paragrafo (1) del Reg 223/2014.</w:t>
      </w:r>
      <w:r w:rsidRPr="00850AF2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BD3CD8B" w14:textId="77777777" w:rsidR="003320FE" w:rsidRPr="009901EE" w:rsidRDefault="003320FE" w:rsidP="007F6D93">
      <w:pPr>
        <w:numPr>
          <w:ilvl w:val="0"/>
          <w:numId w:val="8"/>
        </w:num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che tutti gli importi irregolari siano stati esclusi dai conti; </w:t>
      </w:r>
    </w:p>
    <w:p w14:paraId="77810FCE" w14:textId="77777777" w:rsidR="003320FE" w:rsidRPr="009901EE" w:rsidRDefault="003320FE" w:rsidP="007F6D93">
      <w:pPr>
        <w:numPr>
          <w:ilvl w:val="0"/>
          <w:numId w:val="8"/>
        </w:num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che le correzioni finanziarie necessarie siano state tenute in debita considerazione nei conti per l'anno contabile in questione. </w:t>
      </w:r>
    </w:p>
    <w:p w14:paraId="7AB5D09C" w14:textId="6A20692B" w:rsidR="00B462F4" w:rsidRDefault="00646D92" w:rsidP="009A143F">
      <w:pPr>
        <w:pStyle w:val="Titolo1"/>
        <w:numPr>
          <w:ilvl w:val="0"/>
          <w:numId w:val="37"/>
        </w:numPr>
        <w:spacing w:line="276" w:lineRule="auto"/>
        <w:jc w:val="both"/>
        <w:rPr>
          <w:rFonts w:eastAsia="Calibri" w:cstheme="majorHAnsi"/>
          <w:b/>
          <w:caps/>
          <w:color w:val="auto"/>
          <w:sz w:val="24"/>
          <w:szCs w:val="24"/>
        </w:rPr>
      </w:pPr>
      <w:bookmarkStart w:id="5" w:name="_Toc91062813"/>
      <w:r w:rsidRPr="009901EE">
        <w:rPr>
          <w:rFonts w:eastAsia="Calibri" w:cstheme="majorHAnsi"/>
          <w:b/>
          <w:caps/>
          <w:color w:val="auto"/>
          <w:sz w:val="24"/>
          <w:szCs w:val="24"/>
        </w:rPr>
        <w:lastRenderedPageBreak/>
        <w:t>O</w:t>
      </w:r>
      <w:r w:rsidR="00B462F4" w:rsidRPr="009901EE">
        <w:rPr>
          <w:rFonts w:eastAsia="Calibri" w:cstheme="majorHAnsi"/>
          <w:b/>
          <w:caps/>
          <w:color w:val="auto"/>
          <w:sz w:val="24"/>
          <w:szCs w:val="24"/>
        </w:rPr>
        <w:t>sservazioni e Raccomandazioni</w:t>
      </w:r>
      <w:bookmarkEnd w:id="5"/>
    </w:p>
    <w:p w14:paraId="3EA1800B" w14:textId="77777777" w:rsidR="00BD1591" w:rsidRPr="00BD1591" w:rsidRDefault="00BD1591" w:rsidP="00BD1591"/>
    <w:p w14:paraId="2C10DC0C" w14:textId="2993A934" w:rsidR="00646D92" w:rsidRPr="00BD1591" w:rsidRDefault="00BD1591" w:rsidP="00BD1591">
      <w:pPr>
        <w:spacing w:line="276" w:lineRule="auto"/>
        <w:ind w:left="284"/>
        <w:jc w:val="both"/>
        <w:rPr>
          <w:rFonts w:asciiTheme="majorHAnsi" w:hAnsiTheme="majorHAnsi" w:cstheme="majorHAnsi"/>
          <w:bCs/>
          <w:i/>
          <w:color w:val="5B9BD5" w:themeColor="accent1"/>
          <w:sz w:val="24"/>
          <w:szCs w:val="24"/>
        </w:rPr>
      </w:pPr>
      <w:r w:rsidRPr="00BD1591">
        <w:rPr>
          <w:rFonts w:asciiTheme="majorHAnsi" w:hAnsiTheme="majorHAnsi" w:cstheme="majorHAnsi"/>
          <w:bCs/>
          <w:i/>
          <w:color w:val="5B9BD5" w:themeColor="accent1"/>
          <w:sz w:val="24"/>
          <w:szCs w:val="24"/>
        </w:rPr>
        <w:t>Indicare se i conti sono o meno corretti in conformità di quanto previsto dall’articolo 49 del Regolamento (UE)</w:t>
      </w:r>
      <w:r>
        <w:rPr>
          <w:rFonts w:asciiTheme="majorHAnsi" w:hAnsiTheme="majorHAnsi" w:cstheme="majorHAnsi"/>
          <w:bCs/>
          <w:i/>
          <w:color w:val="5B9BD5" w:themeColor="accent1"/>
          <w:sz w:val="24"/>
          <w:szCs w:val="24"/>
        </w:rPr>
        <w:t xml:space="preserve"> n.</w:t>
      </w:r>
      <w:r w:rsidRPr="00BD1591">
        <w:rPr>
          <w:rFonts w:asciiTheme="majorHAnsi" w:hAnsiTheme="majorHAnsi" w:cstheme="majorHAnsi"/>
          <w:bCs/>
          <w:i/>
          <w:color w:val="5B9BD5" w:themeColor="accent1"/>
          <w:sz w:val="24"/>
          <w:szCs w:val="24"/>
        </w:rPr>
        <w:t xml:space="preserve"> 223/2014, indicare altresì osservazioni e relative raccomandazione</w:t>
      </w:r>
    </w:p>
    <w:p w14:paraId="1DD67714" w14:textId="77777777" w:rsidR="00145A99" w:rsidRPr="009901EE" w:rsidRDefault="00145A99" w:rsidP="009901EE">
      <w:pPr>
        <w:spacing w:line="276" w:lineRule="auto"/>
        <w:ind w:left="284" w:firstLine="426"/>
        <w:jc w:val="both"/>
        <w:rPr>
          <w:rFonts w:asciiTheme="majorHAnsi" w:hAnsiTheme="majorHAnsi" w:cstheme="majorHAnsi"/>
          <w:bCs/>
          <w:i/>
          <w:sz w:val="24"/>
          <w:szCs w:val="24"/>
        </w:rPr>
      </w:pPr>
    </w:p>
    <w:tbl>
      <w:tblPr>
        <w:tblW w:w="524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1650"/>
        <w:gridCol w:w="1648"/>
        <w:gridCol w:w="2388"/>
        <w:gridCol w:w="2075"/>
        <w:gridCol w:w="1946"/>
      </w:tblGrid>
      <w:tr w:rsidR="00B462F4" w:rsidRPr="009901EE" w14:paraId="50B8417F" w14:textId="77777777" w:rsidTr="008F4C97">
        <w:trPr>
          <w:trHeight w:val="67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47A2EF04" w14:textId="77777777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u w:val="single"/>
              </w:rPr>
            </w:pPr>
            <w:r w:rsidRPr="009901EE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Osservazioni sui conti</w:t>
            </w:r>
          </w:p>
        </w:tc>
      </w:tr>
      <w:tr w:rsidR="00B462F4" w:rsidRPr="009901EE" w14:paraId="3D0E8790" w14:textId="77777777" w:rsidTr="00136C5F">
        <w:trPr>
          <w:trHeight w:val="1143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58532" w14:textId="77777777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N.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3A3C3" w14:textId="77777777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 xml:space="preserve">Osservazioni preliminari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2618" w14:textId="77777777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Controdeduzioni</w:t>
            </w:r>
          </w:p>
        </w:tc>
        <w:tc>
          <w:tcPr>
            <w:tcW w:w="11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B8074F" w14:textId="77777777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 xml:space="preserve">Osservazioni definitive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D626E" w14:textId="77777777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Impatto</w:t>
            </w:r>
          </w:p>
        </w:tc>
        <w:tc>
          <w:tcPr>
            <w:tcW w:w="9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5D739" w14:textId="77777777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Conclusione e azione correttiva</w:t>
            </w:r>
          </w:p>
        </w:tc>
      </w:tr>
      <w:tr w:rsidR="00B462F4" w:rsidRPr="009901EE" w14:paraId="589FB8A0" w14:textId="77777777" w:rsidTr="00850AF2">
        <w:trPr>
          <w:trHeight w:val="322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381B1" w14:textId="77777777" w:rsidR="00B462F4" w:rsidRPr="009901EE" w:rsidRDefault="00D45112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901EE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435018" w14:textId="088AA3F8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49F07" w14:textId="5A2996CA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8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35C88D" w14:textId="65CBE553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BB08D" w14:textId="305FC9C2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0D748" w14:textId="0EAD7B4C" w:rsidR="00B462F4" w:rsidRPr="009901EE" w:rsidRDefault="00B462F4" w:rsidP="009901EE">
            <w:pPr>
              <w:spacing w:line="276" w:lineRule="auto"/>
              <w:ind w:firstLine="426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027AB94E" w14:textId="77777777" w:rsidR="00B462F4" w:rsidRPr="009901EE" w:rsidRDefault="00B462F4" w:rsidP="009901EE">
      <w:pPr>
        <w:spacing w:line="276" w:lineRule="auto"/>
        <w:ind w:left="567" w:firstLine="426"/>
        <w:jc w:val="both"/>
        <w:rPr>
          <w:rFonts w:asciiTheme="majorHAnsi" w:hAnsiTheme="majorHAnsi" w:cstheme="majorHAnsi"/>
          <w:bCs/>
          <w:i/>
          <w:sz w:val="24"/>
          <w:szCs w:val="24"/>
        </w:rPr>
      </w:pPr>
    </w:p>
    <w:p w14:paraId="39239D62" w14:textId="0D1B7920" w:rsidR="00B462F4" w:rsidRDefault="00B462F4" w:rsidP="009A143F">
      <w:pPr>
        <w:pStyle w:val="Titolo1"/>
        <w:numPr>
          <w:ilvl w:val="0"/>
          <w:numId w:val="37"/>
        </w:numPr>
        <w:spacing w:line="276" w:lineRule="auto"/>
        <w:jc w:val="both"/>
        <w:rPr>
          <w:rFonts w:eastAsia="Calibri" w:cstheme="majorHAnsi"/>
          <w:b/>
          <w:caps/>
          <w:color w:val="auto"/>
          <w:sz w:val="24"/>
          <w:szCs w:val="24"/>
        </w:rPr>
      </w:pPr>
      <w:bookmarkStart w:id="6" w:name="_Toc91062814"/>
      <w:r w:rsidRPr="009901EE">
        <w:rPr>
          <w:rFonts w:eastAsia="Calibri" w:cstheme="majorHAnsi"/>
          <w:b/>
          <w:caps/>
          <w:color w:val="auto"/>
          <w:sz w:val="24"/>
          <w:szCs w:val="24"/>
        </w:rPr>
        <w:t>Conclusioni e parere di audit</w:t>
      </w:r>
      <w:bookmarkEnd w:id="6"/>
    </w:p>
    <w:p w14:paraId="1035829E" w14:textId="77777777" w:rsidR="00BD1591" w:rsidRPr="00BD1591" w:rsidRDefault="00BD1591" w:rsidP="00BD1591"/>
    <w:p w14:paraId="26598D5A" w14:textId="6FE0AF54" w:rsidR="00177249" w:rsidRPr="00BD1591" w:rsidRDefault="00BD1591" w:rsidP="00BD1591">
      <w:pPr>
        <w:spacing w:line="276" w:lineRule="auto"/>
        <w:jc w:val="both"/>
        <w:rPr>
          <w:rFonts w:asciiTheme="majorHAnsi" w:hAnsiTheme="majorHAnsi" w:cstheme="majorHAnsi"/>
          <w:i/>
          <w:iCs/>
          <w:color w:val="5B9BD5" w:themeColor="accent1"/>
          <w:sz w:val="24"/>
          <w:szCs w:val="24"/>
        </w:rPr>
      </w:pPr>
      <w:r w:rsidRPr="00BD1591">
        <w:rPr>
          <w:rFonts w:asciiTheme="majorHAnsi" w:hAnsiTheme="majorHAnsi" w:cstheme="majorHAnsi"/>
          <w:i/>
          <w:iCs/>
          <w:color w:val="5B9BD5" w:themeColor="accent1"/>
          <w:sz w:val="24"/>
          <w:szCs w:val="24"/>
        </w:rPr>
        <w:t>Indicare se l’AdA a valle delle attività di audit descritte nel presente rapporto, ha ottenuto una concreta garanzia circa l’affidabilità, completezza e accuratezza dei conti</w:t>
      </w:r>
    </w:p>
    <w:p w14:paraId="54906A85" w14:textId="773A84F8" w:rsidR="008509D9" w:rsidRPr="009901EE" w:rsidRDefault="001A727D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 xml:space="preserve">La </w:t>
      </w:r>
      <w:r w:rsidR="00BD1591">
        <w:rPr>
          <w:rFonts w:asciiTheme="majorHAnsi" w:hAnsiTheme="majorHAnsi" w:cstheme="majorHAnsi"/>
          <w:sz w:val="24"/>
          <w:szCs w:val="24"/>
        </w:rPr>
        <w:t>s</w:t>
      </w:r>
      <w:r w:rsidR="008509D9" w:rsidRPr="009901EE">
        <w:rPr>
          <w:rFonts w:asciiTheme="majorHAnsi" w:hAnsiTheme="majorHAnsi" w:cstheme="majorHAnsi"/>
          <w:sz w:val="24"/>
          <w:szCs w:val="24"/>
        </w:rPr>
        <w:t>crivente Autorità a valle delle attività di audit descritte nel presente rapporto ha ottenuto una concreta garanzia circa l’affidabilità, completezza, accuratezza e veridicità dei conti.</w:t>
      </w:r>
    </w:p>
    <w:p w14:paraId="43534C54" w14:textId="77777777" w:rsidR="00B462F4" w:rsidRPr="009901EE" w:rsidRDefault="00B462F4" w:rsidP="009901EE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9901EE">
        <w:rPr>
          <w:rFonts w:asciiTheme="majorHAnsi" w:hAnsiTheme="majorHAnsi" w:cstheme="majorHAnsi"/>
          <w:bCs/>
          <w:sz w:val="24"/>
          <w:szCs w:val="24"/>
        </w:rPr>
        <w:t>Il lavoro di audit eseguito permette di affermare che:</w:t>
      </w:r>
    </w:p>
    <w:p w14:paraId="6DA40E73" w14:textId="77777777" w:rsidR="00B462F4" w:rsidRPr="009901EE" w:rsidRDefault="00B462F4" w:rsidP="007F6D93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firstLine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9901EE">
        <w:rPr>
          <w:rFonts w:asciiTheme="majorHAnsi" w:hAnsiTheme="majorHAnsi" w:cstheme="majorHAnsi"/>
          <w:bCs/>
          <w:sz w:val="24"/>
          <w:szCs w:val="24"/>
        </w:rPr>
        <w:t>i conti forniscono un quadro fedele e veritiero</w:t>
      </w:r>
      <w:r w:rsidR="004C48DF" w:rsidRPr="009901EE">
        <w:rPr>
          <w:rFonts w:asciiTheme="majorHAnsi" w:hAnsiTheme="majorHAnsi" w:cstheme="majorHAnsi"/>
          <w:bCs/>
          <w:sz w:val="24"/>
          <w:szCs w:val="24"/>
        </w:rPr>
        <w:t>, come stabilito all'articolo 49, paragrafo 1, del regolamento (UE) n. 223</w:t>
      </w:r>
      <w:r w:rsidRPr="009901EE">
        <w:rPr>
          <w:rFonts w:asciiTheme="majorHAnsi" w:hAnsiTheme="majorHAnsi" w:cstheme="majorHAnsi"/>
          <w:bCs/>
          <w:sz w:val="24"/>
          <w:szCs w:val="24"/>
        </w:rPr>
        <w:t>/2014;</w:t>
      </w:r>
    </w:p>
    <w:p w14:paraId="49CB4D1C" w14:textId="77777777" w:rsidR="00B462F4" w:rsidRPr="009901EE" w:rsidRDefault="00B462F4" w:rsidP="007F6D93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firstLine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9901EE">
        <w:rPr>
          <w:rFonts w:asciiTheme="majorHAnsi" w:hAnsiTheme="majorHAnsi" w:cstheme="majorHAnsi"/>
          <w:bCs/>
          <w:sz w:val="24"/>
          <w:szCs w:val="24"/>
        </w:rPr>
        <w:t>che le spese nei conti delle quali è stato chiesto il rimborso alla Commissione sono legittime e regolari.</w:t>
      </w:r>
    </w:p>
    <w:p w14:paraId="7B3F641A" w14:textId="6EF35C5B" w:rsidR="00B462F4" w:rsidRPr="00BD1591" w:rsidRDefault="008509D9" w:rsidP="00BD1591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 w:rsidRPr="009901EE">
        <w:rPr>
          <w:rFonts w:asciiTheme="majorHAnsi" w:hAnsiTheme="majorHAnsi" w:cstheme="majorHAnsi"/>
          <w:sz w:val="24"/>
          <w:szCs w:val="24"/>
        </w:rPr>
        <w:t>La scrivente Autorità nell’ambito delle attività di verifica realizzate per l’audit dei conti non ha riscontrato errori sistemici.</w:t>
      </w:r>
    </w:p>
    <w:p w14:paraId="49F02B1C" w14:textId="77777777" w:rsidR="00177249" w:rsidRPr="009901EE" w:rsidRDefault="00177249" w:rsidP="009901EE">
      <w:pPr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</w:p>
    <w:p w14:paraId="408BBCDA" w14:textId="092B0992" w:rsidR="000F1F41" w:rsidRDefault="000F1F41" w:rsidP="00850AF2">
      <w:pPr>
        <w:shd w:val="clear" w:color="auto" w:fill="FFFFFF" w:themeFill="background1"/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</w:p>
    <w:p w14:paraId="531AD8EA" w14:textId="48006FA9" w:rsidR="00BD1591" w:rsidRDefault="00BD1591" w:rsidP="00850AF2">
      <w:pPr>
        <w:shd w:val="clear" w:color="auto" w:fill="FFFFFF" w:themeFill="background1"/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</w:p>
    <w:p w14:paraId="53C87A63" w14:textId="1F0C6FF7" w:rsidR="00BD1591" w:rsidRPr="009901EE" w:rsidRDefault="00BD1591" w:rsidP="00850AF2">
      <w:pPr>
        <w:shd w:val="clear" w:color="auto" w:fill="FFFFFF" w:themeFill="background1"/>
        <w:spacing w:line="276" w:lineRule="auto"/>
        <w:ind w:firstLine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 xml:space="preserve">Il Direttore generale </w:t>
      </w:r>
    </w:p>
    <w:sectPr w:rsidR="00BD1591" w:rsidRPr="009901EE" w:rsidSect="0085248A">
      <w:headerReference w:type="default" r:id="rId14"/>
      <w:pgSz w:w="11906" w:h="16838"/>
      <w:pgMar w:top="1418" w:right="127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58B8D" w14:textId="77777777" w:rsidR="00FE62D2" w:rsidRDefault="00FE62D2" w:rsidP="000D5AE0">
      <w:pPr>
        <w:spacing w:after="0" w:line="240" w:lineRule="auto"/>
      </w:pPr>
      <w:r>
        <w:separator/>
      </w:r>
    </w:p>
  </w:endnote>
  <w:endnote w:type="continuationSeparator" w:id="0">
    <w:p w14:paraId="1A9E8FE7" w14:textId="77777777" w:rsidR="00FE62D2" w:rsidRDefault="00FE62D2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FE62D2" w:rsidRPr="0006756B" w14:paraId="3378E9A5" w14:textId="77777777" w:rsidTr="00FE62D2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11B16393" w14:textId="79D8DC80" w:rsidR="00FE62D2" w:rsidRDefault="00FE62D2" w:rsidP="00FE62D2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  <w:r>
            <w:rPr>
              <w:rStyle w:val="Riferimentodelicato"/>
              <w:rFonts w:asciiTheme="minorHAnsi" w:hAnsiTheme="minorHAnsi"/>
            </w:rPr>
            <w:t>_</w:t>
          </w:r>
        </w:p>
        <w:p w14:paraId="3F83D1C6" w14:textId="77777777" w:rsidR="00FE62D2" w:rsidRDefault="00FE62D2" w:rsidP="00FE62D2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5D45B1CD" w14:textId="3F1363EF" w:rsidR="00FE62D2" w:rsidRPr="004F5F9F" w:rsidRDefault="00FE62D2" w:rsidP="00FE62D2">
          <w:pPr>
            <w:pStyle w:val="piepagina"/>
            <w:jc w:val="right"/>
            <w:rPr>
              <w:rFonts w:asciiTheme="minorHAnsi" w:hAnsiTheme="minorHAnsi"/>
            </w:rPr>
          </w:pPr>
          <w:r>
            <w:rPr>
              <w:rStyle w:val="Riferimentodelicato"/>
              <w:rFonts w:asciiTheme="minorHAnsi" w:hAnsiTheme="minorHAnsi"/>
            </w:rPr>
            <w:t>A</w:t>
          </w:r>
          <w:r>
            <w:rPr>
              <w:rStyle w:val="Riferimentodelicato"/>
            </w:rPr>
            <w:t>llegato C02 Rapporto Audit dei conti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55C2F68A" w14:textId="77777777" w:rsidR="00FE62D2" w:rsidRPr="004F5F9F" w:rsidRDefault="00FE62D2" w:rsidP="00FE62D2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1F8D348" w14:textId="77777777" w:rsidR="00FE62D2" w:rsidRDefault="00FE62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FE62D2" w:rsidRPr="0006756B" w14:paraId="4D5B1C11" w14:textId="77777777" w:rsidTr="00FE62D2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622A9DC9" w14:textId="35BED80C" w:rsidR="00FE62D2" w:rsidRDefault="00FE62D2" w:rsidP="00BC702D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  <w:r>
            <w:rPr>
              <w:rStyle w:val="Riferimentodelicato"/>
              <w:rFonts w:asciiTheme="minorHAnsi" w:hAnsiTheme="minorHAnsi"/>
            </w:rPr>
            <w:t xml:space="preserve"> </w:t>
          </w:r>
        </w:p>
        <w:p w14:paraId="17F41C29" w14:textId="77777777" w:rsidR="00FE62D2" w:rsidRDefault="00FE62D2" w:rsidP="00BC702D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AE91934" w14:textId="1A438414" w:rsidR="00FE62D2" w:rsidRPr="009B34BB" w:rsidRDefault="00FE62D2" w:rsidP="00BC702D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>
            <w:rPr>
              <w:rStyle w:val="Riferimentodelicato"/>
              <w:rFonts w:asciiTheme="minorHAnsi" w:hAnsiTheme="minorHAnsi"/>
            </w:rPr>
            <w:t>A</w:t>
          </w:r>
          <w:r>
            <w:rPr>
              <w:rStyle w:val="Riferimentodelicato"/>
            </w:rPr>
            <w:t>llegato C02 Rapporto Audit dei conti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2B789E3C" w14:textId="77777777" w:rsidR="00FE62D2" w:rsidRPr="004F5F9F" w:rsidRDefault="00FE62D2" w:rsidP="00BC702D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1A6AE3C9" w14:textId="77777777" w:rsidR="00FE62D2" w:rsidRDefault="00FE62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E1C9E" w14:textId="77777777" w:rsidR="00FE62D2" w:rsidRDefault="00FE62D2" w:rsidP="000D5AE0">
      <w:pPr>
        <w:spacing w:after="0" w:line="240" w:lineRule="auto"/>
      </w:pPr>
      <w:r>
        <w:separator/>
      </w:r>
    </w:p>
  </w:footnote>
  <w:footnote w:type="continuationSeparator" w:id="0">
    <w:p w14:paraId="47EB7944" w14:textId="77777777" w:rsidR="00FE62D2" w:rsidRDefault="00FE62D2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FE62D2" w14:paraId="66165984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02EDAFA6" w14:textId="77777777" w:rsidR="00FE62D2" w:rsidRDefault="00FE62D2" w:rsidP="00EF325D">
          <w:r>
            <w:rPr>
              <w:noProof/>
              <w:lang w:eastAsia="it-IT"/>
            </w:rPr>
            <w:drawing>
              <wp:inline distT="0" distB="0" distL="0" distR="0" wp14:anchorId="5554631B" wp14:editId="216ADA8D">
                <wp:extent cx="895350" cy="7524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73783857" w14:textId="77777777" w:rsidR="00FE62D2" w:rsidRDefault="00FE62D2" w:rsidP="00EF325D">
          <w:pPr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1B4F219A" wp14:editId="45C8C445">
                <wp:extent cx="1181100" cy="752475"/>
                <wp:effectExtent l="0" t="0" r="0" b="9525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74FF30" w14:textId="77777777" w:rsidR="00FE62D2" w:rsidRDefault="00FE62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9490"/>
      <w:gridCol w:w="222"/>
    </w:tblGrid>
    <w:tr w:rsidR="00FE62D2" w14:paraId="5B3B4EEE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3D0CA4C4" w14:textId="103A94F3" w:rsidR="00FE62D2" w:rsidRDefault="00FE62D2" w:rsidP="00EF325D">
          <w:r>
            <w:rPr>
              <w:noProof/>
            </w:rPr>
            <w:drawing>
              <wp:inline distT="0" distB="0" distL="0" distR="0" wp14:anchorId="76BFA96F" wp14:editId="0716C970">
                <wp:extent cx="6066155" cy="615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2919BB83" w14:textId="7F06B252" w:rsidR="00FE62D2" w:rsidRDefault="00FE62D2" w:rsidP="00EF325D">
          <w:pPr>
            <w:jc w:val="right"/>
          </w:pPr>
        </w:p>
      </w:tc>
    </w:tr>
  </w:tbl>
  <w:p w14:paraId="4C2E855E" w14:textId="77777777" w:rsidR="00FE62D2" w:rsidRDefault="00FE62D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9632"/>
      <w:gridCol w:w="222"/>
    </w:tblGrid>
    <w:tr w:rsidR="00FE62D2" w14:paraId="5B80544D" w14:textId="77777777" w:rsidTr="003C4D80">
      <w:trPr>
        <w:trHeight w:val="1290"/>
      </w:trPr>
      <w:tc>
        <w:tcPr>
          <w:tcW w:w="4886" w:type="pct"/>
          <w:shd w:val="clear" w:color="auto" w:fill="auto"/>
        </w:tcPr>
        <w:p w14:paraId="57D3B414" w14:textId="1044B749" w:rsidR="00FE62D2" w:rsidRDefault="00FE62D2" w:rsidP="002B1C1A">
          <w:pPr>
            <w:tabs>
              <w:tab w:val="left" w:pos="2295"/>
            </w:tabs>
          </w:pPr>
          <w:r>
            <w:rPr>
              <w:noProof/>
            </w:rPr>
            <w:drawing>
              <wp:inline distT="0" distB="0" distL="0" distR="0" wp14:anchorId="0D06D4E3" wp14:editId="249F59CC">
                <wp:extent cx="6066155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615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114" w:type="pct"/>
          <w:shd w:val="clear" w:color="auto" w:fill="auto"/>
        </w:tcPr>
        <w:p w14:paraId="6FB05A2D" w14:textId="2E127F44" w:rsidR="00FE62D2" w:rsidRDefault="00FE62D2" w:rsidP="00BC1387">
          <w:pPr>
            <w:jc w:val="right"/>
          </w:pPr>
        </w:p>
      </w:tc>
    </w:tr>
  </w:tbl>
  <w:p w14:paraId="652EF3CC" w14:textId="77777777" w:rsidR="00FE62D2" w:rsidRDefault="00FE62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C3879"/>
    <w:multiLevelType w:val="hybridMultilevel"/>
    <w:tmpl w:val="525023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97A94"/>
    <w:multiLevelType w:val="hybridMultilevel"/>
    <w:tmpl w:val="84BCA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9508C"/>
    <w:multiLevelType w:val="hybridMultilevel"/>
    <w:tmpl w:val="94503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D015B"/>
    <w:multiLevelType w:val="hybridMultilevel"/>
    <w:tmpl w:val="53823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376D"/>
    <w:multiLevelType w:val="hybridMultilevel"/>
    <w:tmpl w:val="14F8CEF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9DB0AF1"/>
    <w:multiLevelType w:val="hybridMultilevel"/>
    <w:tmpl w:val="CA06C0C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A03D1B"/>
    <w:multiLevelType w:val="hybridMultilevel"/>
    <w:tmpl w:val="F15AAFD2"/>
    <w:lvl w:ilvl="0" w:tplc="235CFC6A">
      <w:numFmt w:val="bullet"/>
      <w:lvlText w:val="-"/>
      <w:lvlJc w:val="left"/>
      <w:pPr>
        <w:ind w:left="720" w:hanging="360"/>
      </w:pPr>
      <w:rPr>
        <w:rFonts w:ascii="Titillium Lt" w:eastAsiaTheme="minorHAnsi" w:hAnsi="Titillium L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A299D"/>
    <w:multiLevelType w:val="hybridMultilevel"/>
    <w:tmpl w:val="3404D0EA"/>
    <w:lvl w:ilvl="0" w:tplc="235CFC6A">
      <w:numFmt w:val="bullet"/>
      <w:lvlText w:val="-"/>
      <w:lvlJc w:val="left"/>
      <w:pPr>
        <w:ind w:left="720" w:hanging="360"/>
      </w:pPr>
      <w:rPr>
        <w:rFonts w:ascii="Titillium Lt" w:eastAsiaTheme="minorHAnsi" w:hAnsi="Titillium L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D67DF"/>
    <w:multiLevelType w:val="hybridMultilevel"/>
    <w:tmpl w:val="58927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273BF"/>
    <w:multiLevelType w:val="hybridMultilevel"/>
    <w:tmpl w:val="9452B4C0"/>
    <w:lvl w:ilvl="0" w:tplc="235CFC6A">
      <w:numFmt w:val="bullet"/>
      <w:lvlText w:val="-"/>
      <w:lvlJc w:val="left"/>
      <w:pPr>
        <w:ind w:left="720" w:hanging="360"/>
      </w:pPr>
      <w:rPr>
        <w:rFonts w:ascii="Titillium Lt" w:eastAsiaTheme="minorHAnsi" w:hAnsi="Titillium L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2139E"/>
    <w:multiLevelType w:val="hybridMultilevel"/>
    <w:tmpl w:val="A60CB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9014D"/>
    <w:multiLevelType w:val="hybridMultilevel"/>
    <w:tmpl w:val="0A6AE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A7E6C"/>
    <w:multiLevelType w:val="hybridMultilevel"/>
    <w:tmpl w:val="AEFC817E"/>
    <w:lvl w:ilvl="0" w:tplc="235CFC6A">
      <w:numFmt w:val="bullet"/>
      <w:lvlText w:val="-"/>
      <w:lvlJc w:val="left"/>
      <w:pPr>
        <w:ind w:left="720" w:hanging="360"/>
      </w:pPr>
      <w:rPr>
        <w:rFonts w:ascii="Titillium Lt" w:eastAsiaTheme="minorHAnsi" w:hAnsi="Titillium L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34478"/>
    <w:multiLevelType w:val="hybridMultilevel"/>
    <w:tmpl w:val="E6AAC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61407"/>
    <w:multiLevelType w:val="hybridMultilevel"/>
    <w:tmpl w:val="278A3E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90D35"/>
    <w:multiLevelType w:val="hybridMultilevel"/>
    <w:tmpl w:val="914E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F79D3"/>
    <w:multiLevelType w:val="hybridMultilevel"/>
    <w:tmpl w:val="C134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56769"/>
    <w:multiLevelType w:val="hybridMultilevel"/>
    <w:tmpl w:val="F5BCE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A06D0"/>
    <w:multiLevelType w:val="hybridMultilevel"/>
    <w:tmpl w:val="F48EA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7CE3"/>
    <w:multiLevelType w:val="hybridMultilevel"/>
    <w:tmpl w:val="BD9EFC2E"/>
    <w:lvl w:ilvl="0" w:tplc="235CFC6A">
      <w:numFmt w:val="bullet"/>
      <w:lvlText w:val="-"/>
      <w:lvlJc w:val="left"/>
      <w:pPr>
        <w:ind w:left="1069" w:hanging="360"/>
      </w:pPr>
      <w:rPr>
        <w:rFonts w:ascii="Titillium Lt" w:eastAsiaTheme="minorHAnsi" w:hAnsi="Titillium L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FEA0551"/>
    <w:multiLevelType w:val="hybridMultilevel"/>
    <w:tmpl w:val="3E06E6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9E3BA5"/>
    <w:multiLevelType w:val="hybridMultilevel"/>
    <w:tmpl w:val="CE564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4690F"/>
    <w:multiLevelType w:val="hybridMultilevel"/>
    <w:tmpl w:val="85FE0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07ED1"/>
    <w:multiLevelType w:val="hybridMultilevel"/>
    <w:tmpl w:val="EE90A6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97E84"/>
    <w:multiLevelType w:val="hybridMultilevel"/>
    <w:tmpl w:val="914E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A7F16"/>
    <w:multiLevelType w:val="hybridMultilevel"/>
    <w:tmpl w:val="22380074"/>
    <w:lvl w:ilvl="0" w:tplc="02887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033A7"/>
    <w:multiLevelType w:val="hybridMultilevel"/>
    <w:tmpl w:val="7F4AC47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3452D"/>
    <w:multiLevelType w:val="hybridMultilevel"/>
    <w:tmpl w:val="44E09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42D42"/>
    <w:multiLevelType w:val="hybridMultilevel"/>
    <w:tmpl w:val="DD0494A8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3422596"/>
    <w:multiLevelType w:val="hybridMultilevel"/>
    <w:tmpl w:val="CE7C24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F26B3E">
      <w:start w:val="92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98545A">
      <w:start w:val="9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FCB7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5CE9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E804D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5A85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9EC3B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D2F62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59425A"/>
    <w:multiLevelType w:val="multilevel"/>
    <w:tmpl w:val="6A2484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8027185"/>
    <w:multiLevelType w:val="hybridMultilevel"/>
    <w:tmpl w:val="DB587F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C0699"/>
    <w:multiLevelType w:val="hybridMultilevel"/>
    <w:tmpl w:val="AB9CE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E4526F"/>
    <w:multiLevelType w:val="hybridMultilevel"/>
    <w:tmpl w:val="4C12E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E6A94"/>
    <w:multiLevelType w:val="hybridMultilevel"/>
    <w:tmpl w:val="1034053A"/>
    <w:lvl w:ilvl="0" w:tplc="1742B5C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11292"/>
    <w:multiLevelType w:val="hybridMultilevel"/>
    <w:tmpl w:val="502C1F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F6B27"/>
    <w:multiLevelType w:val="hybridMultilevel"/>
    <w:tmpl w:val="D688A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BAD496">
      <w:numFmt w:val="bullet"/>
      <w:lvlText w:val="-"/>
      <w:lvlJc w:val="left"/>
      <w:pPr>
        <w:ind w:left="1440" w:hanging="360"/>
      </w:pPr>
      <w:rPr>
        <w:rFonts w:ascii="Titillium Lt" w:eastAsiaTheme="minorHAnsi" w:hAnsi="Titillium Lt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5"/>
  </w:num>
  <w:num w:numId="3">
    <w:abstractNumId w:val="31"/>
  </w:num>
  <w:num w:numId="4">
    <w:abstractNumId w:val="5"/>
  </w:num>
  <w:num w:numId="5">
    <w:abstractNumId w:val="7"/>
  </w:num>
  <w:num w:numId="6">
    <w:abstractNumId w:val="29"/>
  </w:num>
  <w:num w:numId="7">
    <w:abstractNumId w:val="19"/>
  </w:num>
  <w:num w:numId="8">
    <w:abstractNumId w:val="26"/>
  </w:num>
  <w:num w:numId="9">
    <w:abstractNumId w:val="0"/>
  </w:num>
  <w:num w:numId="10">
    <w:abstractNumId w:val="24"/>
  </w:num>
  <w:num w:numId="11">
    <w:abstractNumId w:val="4"/>
  </w:num>
  <w:num w:numId="12">
    <w:abstractNumId w:val="32"/>
  </w:num>
  <w:num w:numId="13">
    <w:abstractNumId w:val="20"/>
  </w:num>
  <w:num w:numId="14">
    <w:abstractNumId w:val="16"/>
  </w:num>
  <w:num w:numId="15">
    <w:abstractNumId w:val="21"/>
  </w:num>
  <w:num w:numId="16">
    <w:abstractNumId w:val="13"/>
  </w:num>
  <w:num w:numId="17">
    <w:abstractNumId w:val="35"/>
  </w:num>
  <w:num w:numId="18">
    <w:abstractNumId w:val="10"/>
  </w:num>
  <w:num w:numId="19">
    <w:abstractNumId w:val="1"/>
  </w:num>
  <w:num w:numId="20">
    <w:abstractNumId w:val="14"/>
  </w:num>
  <w:num w:numId="21">
    <w:abstractNumId w:val="33"/>
  </w:num>
  <w:num w:numId="22">
    <w:abstractNumId w:val="8"/>
  </w:num>
  <w:num w:numId="23">
    <w:abstractNumId w:val="18"/>
  </w:num>
  <w:num w:numId="24">
    <w:abstractNumId w:val="11"/>
  </w:num>
  <w:num w:numId="25">
    <w:abstractNumId w:val="3"/>
  </w:num>
  <w:num w:numId="26">
    <w:abstractNumId w:val="23"/>
  </w:num>
  <w:num w:numId="27">
    <w:abstractNumId w:val="12"/>
  </w:num>
  <w:num w:numId="28">
    <w:abstractNumId w:val="6"/>
  </w:num>
  <w:num w:numId="29">
    <w:abstractNumId w:val="25"/>
  </w:num>
  <w:num w:numId="30">
    <w:abstractNumId w:val="28"/>
  </w:num>
  <w:num w:numId="31">
    <w:abstractNumId w:val="22"/>
  </w:num>
  <w:num w:numId="32">
    <w:abstractNumId w:val="2"/>
  </w:num>
  <w:num w:numId="33">
    <w:abstractNumId w:val="17"/>
  </w:num>
  <w:num w:numId="34">
    <w:abstractNumId w:val="30"/>
  </w:num>
  <w:num w:numId="35">
    <w:abstractNumId w:val="9"/>
  </w:num>
  <w:num w:numId="36">
    <w:abstractNumId w:val="27"/>
  </w:num>
  <w:num w:numId="37">
    <w:abstractNumId w:val="3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0A97"/>
    <w:rsid w:val="00002D05"/>
    <w:rsid w:val="00003107"/>
    <w:rsid w:val="0000616B"/>
    <w:rsid w:val="000163D2"/>
    <w:rsid w:val="00024BB6"/>
    <w:rsid w:val="00026CEF"/>
    <w:rsid w:val="000379B9"/>
    <w:rsid w:val="00041657"/>
    <w:rsid w:val="00041E37"/>
    <w:rsid w:val="00041FA3"/>
    <w:rsid w:val="00045828"/>
    <w:rsid w:val="00046DC8"/>
    <w:rsid w:val="000536EE"/>
    <w:rsid w:val="00053D15"/>
    <w:rsid w:val="00053D17"/>
    <w:rsid w:val="0005569F"/>
    <w:rsid w:val="00056754"/>
    <w:rsid w:val="00056D84"/>
    <w:rsid w:val="000655B4"/>
    <w:rsid w:val="00075FA9"/>
    <w:rsid w:val="00080599"/>
    <w:rsid w:val="00080931"/>
    <w:rsid w:val="000829F1"/>
    <w:rsid w:val="00085979"/>
    <w:rsid w:val="00086E40"/>
    <w:rsid w:val="0008752F"/>
    <w:rsid w:val="00092DD0"/>
    <w:rsid w:val="00092E29"/>
    <w:rsid w:val="00093F84"/>
    <w:rsid w:val="00094655"/>
    <w:rsid w:val="00095AED"/>
    <w:rsid w:val="00095E99"/>
    <w:rsid w:val="000963F9"/>
    <w:rsid w:val="00096A9D"/>
    <w:rsid w:val="000A20B6"/>
    <w:rsid w:val="000A2412"/>
    <w:rsid w:val="000A2414"/>
    <w:rsid w:val="000B0C46"/>
    <w:rsid w:val="000B2D89"/>
    <w:rsid w:val="000B4171"/>
    <w:rsid w:val="000C0994"/>
    <w:rsid w:val="000C31C1"/>
    <w:rsid w:val="000C59B3"/>
    <w:rsid w:val="000D1C82"/>
    <w:rsid w:val="000D5AE0"/>
    <w:rsid w:val="000D751B"/>
    <w:rsid w:val="000E09E5"/>
    <w:rsid w:val="000E0E4A"/>
    <w:rsid w:val="000E2A60"/>
    <w:rsid w:val="000E767D"/>
    <w:rsid w:val="000F1F41"/>
    <w:rsid w:val="000F33C3"/>
    <w:rsid w:val="000F48BA"/>
    <w:rsid w:val="000F512B"/>
    <w:rsid w:val="000F68BB"/>
    <w:rsid w:val="000F7A87"/>
    <w:rsid w:val="00105BC2"/>
    <w:rsid w:val="00112932"/>
    <w:rsid w:val="00114968"/>
    <w:rsid w:val="0012214E"/>
    <w:rsid w:val="001251BA"/>
    <w:rsid w:val="00125B4F"/>
    <w:rsid w:val="00126A70"/>
    <w:rsid w:val="00126ADC"/>
    <w:rsid w:val="00126F04"/>
    <w:rsid w:val="00127BEA"/>
    <w:rsid w:val="001310AF"/>
    <w:rsid w:val="001325A1"/>
    <w:rsid w:val="0013352B"/>
    <w:rsid w:val="00134D05"/>
    <w:rsid w:val="00136C5F"/>
    <w:rsid w:val="00137006"/>
    <w:rsid w:val="001450E5"/>
    <w:rsid w:val="00145A99"/>
    <w:rsid w:val="001509E9"/>
    <w:rsid w:val="00150D38"/>
    <w:rsid w:val="00153873"/>
    <w:rsid w:val="00153CD1"/>
    <w:rsid w:val="00154E17"/>
    <w:rsid w:val="00155450"/>
    <w:rsid w:val="00156CF0"/>
    <w:rsid w:val="001572E2"/>
    <w:rsid w:val="001574B8"/>
    <w:rsid w:val="00157A1B"/>
    <w:rsid w:val="00162248"/>
    <w:rsid w:val="0016330B"/>
    <w:rsid w:val="00163C8C"/>
    <w:rsid w:val="00165068"/>
    <w:rsid w:val="00170344"/>
    <w:rsid w:val="00170AEC"/>
    <w:rsid w:val="00173C9A"/>
    <w:rsid w:val="0017483F"/>
    <w:rsid w:val="001752CE"/>
    <w:rsid w:val="001755D8"/>
    <w:rsid w:val="00176F1C"/>
    <w:rsid w:val="00177249"/>
    <w:rsid w:val="00177EDB"/>
    <w:rsid w:val="00182219"/>
    <w:rsid w:val="001824F2"/>
    <w:rsid w:val="00186026"/>
    <w:rsid w:val="00186259"/>
    <w:rsid w:val="00195E41"/>
    <w:rsid w:val="001A00FB"/>
    <w:rsid w:val="001A34DF"/>
    <w:rsid w:val="001A53E3"/>
    <w:rsid w:val="001A727D"/>
    <w:rsid w:val="001C4953"/>
    <w:rsid w:val="001D01E3"/>
    <w:rsid w:val="001D07C1"/>
    <w:rsid w:val="001D19E2"/>
    <w:rsid w:val="001D3F31"/>
    <w:rsid w:val="001D4BF7"/>
    <w:rsid w:val="001D675E"/>
    <w:rsid w:val="001D6A41"/>
    <w:rsid w:val="001D77C0"/>
    <w:rsid w:val="001E25AD"/>
    <w:rsid w:val="001F0E27"/>
    <w:rsid w:val="001F20FA"/>
    <w:rsid w:val="001F689C"/>
    <w:rsid w:val="002002A9"/>
    <w:rsid w:val="00201476"/>
    <w:rsid w:val="002079E1"/>
    <w:rsid w:val="00207E01"/>
    <w:rsid w:val="002204DE"/>
    <w:rsid w:val="00221F6C"/>
    <w:rsid w:val="002247EA"/>
    <w:rsid w:val="0023796F"/>
    <w:rsid w:val="00240BC3"/>
    <w:rsid w:val="00245CBC"/>
    <w:rsid w:val="00245D88"/>
    <w:rsid w:val="00247DEE"/>
    <w:rsid w:val="00251C51"/>
    <w:rsid w:val="00251E17"/>
    <w:rsid w:val="0026010C"/>
    <w:rsid w:val="00260256"/>
    <w:rsid w:val="00263E87"/>
    <w:rsid w:val="00271AF9"/>
    <w:rsid w:val="002736F1"/>
    <w:rsid w:val="00277277"/>
    <w:rsid w:val="0027736E"/>
    <w:rsid w:val="002803F1"/>
    <w:rsid w:val="00282A5B"/>
    <w:rsid w:val="0028513E"/>
    <w:rsid w:val="00286248"/>
    <w:rsid w:val="00287B1D"/>
    <w:rsid w:val="002930EF"/>
    <w:rsid w:val="002964BF"/>
    <w:rsid w:val="00297038"/>
    <w:rsid w:val="00297E64"/>
    <w:rsid w:val="002A29B5"/>
    <w:rsid w:val="002A347B"/>
    <w:rsid w:val="002A4075"/>
    <w:rsid w:val="002A50C8"/>
    <w:rsid w:val="002B1C1A"/>
    <w:rsid w:val="002B4BE8"/>
    <w:rsid w:val="002B4F56"/>
    <w:rsid w:val="002C1009"/>
    <w:rsid w:val="002C1836"/>
    <w:rsid w:val="002C357E"/>
    <w:rsid w:val="002D174B"/>
    <w:rsid w:val="002D3801"/>
    <w:rsid w:val="002E2BA0"/>
    <w:rsid w:val="002E2CDC"/>
    <w:rsid w:val="002E32FE"/>
    <w:rsid w:val="002E6A2E"/>
    <w:rsid w:val="002E725E"/>
    <w:rsid w:val="002E798B"/>
    <w:rsid w:val="002F02B1"/>
    <w:rsid w:val="002F1D60"/>
    <w:rsid w:val="002F2228"/>
    <w:rsid w:val="002F59A6"/>
    <w:rsid w:val="002F69C2"/>
    <w:rsid w:val="002F72E5"/>
    <w:rsid w:val="00300D0A"/>
    <w:rsid w:val="00304ABE"/>
    <w:rsid w:val="00307AF2"/>
    <w:rsid w:val="00315265"/>
    <w:rsid w:val="00321288"/>
    <w:rsid w:val="00325D6C"/>
    <w:rsid w:val="0032600C"/>
    <w:rsid w:val="0032711A"/>
    <w:rsid w:val="003320FE"/>
    <w:rsid w:val="0034013B"/>
    <w:rsid w:val="0034510F"/>
    <w:rsid w:val="003513F8"/>
    <w:rsid w:val="003522D0"/>
    <w:rsid w:val="0035496D"/>
    <w:rsid w:val="00362BCA"/>
    <w:rsid w:val="00375C16"/>
    <w:rsid w:val="00377BE0"/>
    <w:rsid w:val="00377C35"/>
    <w:rsid w:val="00380D3C"/>
    <w:rsid w:val="00383E88"/>
    <w:rsid w:val="00384F7D"/>
    <w:rsid w:val="00386085"/>
    <w:rsid w:val="00390A80"/>
    <w:rsid w:val="003917C0"/>
    <w:rsid w:val="003A09D9"/>
    <w:rsid w:val="003A6B3C"/>
    <w:rsid w:val="003A762B"/>
    <w:rsid w:val="003C212B"/>
    <w:rsid w:val="003C4D80"/>
    <w:rsid w:val="003C603F"/>
    <w:rsid w:val="003D3901"/>
    <w:rsid w:val="003D408A"/>
    <w:rsid w:val="003D7318"/>
    <w:rsid w:val="003D7A96"/>
    <w:rsid w:val="003E1D28"/>
    <w:rsid w:val="003E2F74"/>
    <w:rsid w:val="003E4024"/>
    <w:rsid w:val="003E619D"/>
    <w:rsid w:val="003F130A"/>
    <w:rsid w:val="003F595B"/>
    <w:rsid w:val="00401A5C"/>
    <w:rsid w:val="0041148C"/>
    <w:rsid w:val="0042762B"/>
    <w:rsid w:val="00430171"/>
    <w:rsid w:val="00431193"/>
    <w:rsid w:val="00433691"/>
    <w:rsid w:val="0044086E"/>
    <w:rsid w:val="00443811"/>
    <w:rsid w:val="004442AC"/>
    <w:rsid w:val="00445D2B"/>
    <w:rsid w:val="00451FA1"/>
    <w:rsid w:val="00453E68"/>
    <w:rsid w:val="00454798"/>
    <w:rsid w:val="00462C8C"/>
    <w:rsid w:val="00462F35"/>
    <w:rsid w:val="00464C75"/>
    <w:rsid w:val="0047439B"/>
    <w:rsid w:val="0047526B"/>
    <w:rsid w:val="0047556B"/>
    <w:rsid w:val="004756E2"/>
    <w:rsid w:val="00476BE3"/>
    <w:rsid w:val="00483115"/>
    <w:rsid w:val="00485F27"/>
    <w:rsid w:val="0049066A"/>
    <w:rsid w:val="0049241D"/>
    <w:rsid w:val="004925D8"/>
    <w:rsid w:val="00495686"/>
    <w:rsid w:val="00495798"/>
    <w:rsid w:val="004A06B6"/>
    <w:rsid w:val="004A0B3A"/>
    <w:rsid w:val="004A12BD"/>
    <w:rsid w:val="004A3595"/>
    <w:rsid w:val="004A7B11"/>
    <w:rsid w:val="004B2EE9"/>
    <w:rsid w:val="004B49D7"/>
    <w:rsid w:val="004B61D1"/>
    <w:rsid w:val="004B6FF2"/>
    <w:rsid w:val="004C09B9"/>
    <w:rsid w:val="004C48DF"/>
    <w:rsid w:val="004D1B8F"/>
    <w:rsid w:val="004D280D"/>
    <w:rsid w:val="004D74EB"/>
    <w:rsid w:val="004E0BD7"/>
    <w:rsid w:val="004E0E1C"/>
    <w:rsid w:val="004E4FC5"/>
    <w:rsid w:val="004F1ECE"/>
    <w:rsid w:val="004F271B"/>
    <w:rsid w:val="004F28AD"/>
    <w:rsid w:val="004F7066"/>
    <w:rsid w:val="004F7DBF"/>
    <w:rsid w:val="00502DB6"/>
    <w:rsid w:val="005032E6"/>
    <w:rsid w:val="00510120"/>
    <w:rsid w:val="00510E99"/>
    <w:rsid w:val="00512B81"/>
    <w:rsid w:val="00515F60"/>
    <w:rsid w:val="00517D8C"/>
    <w:rsid w:val="00522936"/>
    <w:rsid w:val="00526C00"/>
    <w:rsid w:val="0052777C"/>
    <w:rsid w:val="00531025"/>
    <w:rsid w:val="00532295"/>
    <w:rsid w:val="005402E7"/>
    <w:rsid w:val="00540886"/>
    <w:rsid w:val="0054239A"/>
    <w:rsid w:val="00550F6A"/>
    <w:rsid w:val="005568D1"/>
    <w:rsid w:val="00556A89"/>
    <w:rsid w:val="005601F5"/>
    <w:rsid w:val="005662EC"/>
    <w:rsid w:val="005729CF"/>
    <w:rsid w:val="00577CCF"/>
    <w:rsid w:val="0058240C"/>
    <w:rsid w:val="00596342"/>
    <w:rsid w:val="00597E3A"/>
    <w:rsid w:val="005A138F"/>
    <w:rsid w:val="005A3234"/>
    <w:rsid w:val="005A658D"/>
    <w:rsid w:val="005A79E6"/>
    <w:rsid w:val="005B00A2"/>
    <w:rsid w:val="005B593A"/>
    <w:rsid w:val="005B729E"/>
    <w:rsid w:val="005B78A9"/>
    <w:rsid w:val="005C00D6"/>
    <w:rsid w:val="005C34B7"/>
    <w:rsid w:val="005C563E"/>
    <w:rsid w:val="005C56F6"/>
    <w:rsid w:val="005C5EAD"/>
    <w:rsid w:val="005C6A3E"/>
    <w:rsid w:val="005C7CA0"/>
    <w:rsid w:val="005D1648"/>
    <w:rsid w:val="005D1A1E"/>
    <w:rsid w:val="005D56CE"/>
    <w:rsid w:val="005D6C25"/>
    <w:rsid w:val="005D7C00"/>
    <w:rsid w:val="005E0B86"/>
    <w:rsid w:val="005E16FA"/>
    <w:rsid w:val="005E51B0"/>
    <w:rsid w:val="005E5708"/>
    <w:rsid w:val="005E6ADD"/>
    <w:rsid w:val="005F0909"/>
    <w:rsid w:val="005F113A"/>
    <w:rsid w:val="005F3FAC"/>
    <w:rsid w:val="005F5303"/>
    <w:rsid w:val="006037DA"/>
    <w:rsid w:val="0061013E"/>
    <w:rsid w:val="006137B0"/>
    <w:rsid w:val="00614CBC"/>
    <w:rsid w:val="00614ED2"/>
    <w:rsid w:val="00622CD5"/>
    <w:rsid w:val="006305E1"/>
    <w:rsid w:val="00644E44"/>
    <w:rsid w:val="00646D92"/>
    <w:rsid w:val="00652BC1"/>
    <w:rsid w:val="00654E24"/>
    <w:rsid w:val="00664463"/>
    <w:rsid w:val="006705A3"/>
    <w:rsid w:val="0067348B"/>
    <w:rsid w:val="00673DC5"/>
    <w:rsid w:val="00675F78"/>
    <w:rsid w:val="006806E7"/>
    <w:rsid w:val="006816FB"/>
    <w:rsid w:val="006821EA"/>
    <w:rsid w:val="00682DC0"/>
    <w:rsid w:val="00685EEE"/>
    <w:rsid w:val="00687120"/>
    <w:rsid w:val="006949A2"/>
    <w:rsid w:val="00694DC6"/>
    <w:rsid w:val="006A230E"/>
    <w:rsid w:val="006A2972"/>
    <w:rsid w:val="006A4B1E"/>
    <w:rsid w:val="006B05FB"/>
    <w:rsid w:val="006B3612"/>
    <w:rsid w:val="006B4E84"/>
    <w:rsid w:val="006B7290"/>
    <w:rsid w:val="006B7B7E"/>
    <w:rsid w:val="006C1321"/>
    <w:rsid w:val="006C540A"/>
    <w:rsid w:val="006C5B15"/>
    <w:rsid w:val="006D2449"/>
    <w:rsid w:val="006D4A2E"/>
    <w:rsid w:val="006D624F"/>
    <w:rsid w:val="006E0A7F"/>
    <w:rsid w:val="006E0AC7"/>
    <w:rsid w:val="006E4450"/>
    <w:rsid w:val="006E4F29"/>
    <w:rsid w:val="006E6A37"/>
    <w:rsid w:val="006E7DD7"/>
    <w:rsid w:val="006F0E54"/>
    <w:rsid w:val="007005BE"/>
    <w:rsid w:val="007013DC"/>
    <w:rsid w:val="00704379"/>
    <w:rsid w:val="0070586D"/>
    <w:rsid w:val="007125B6"/>
    <w:rsid w:val="00716E1A"/>
    <w:rsid w:val="00717595"/>
    <w:rsid w:val="007223CB"/>
    <w:rsid w:val="00743D40"/>
    <w:rsid w:val="00746764"/>
    <w:rsid w:val="0074693F"/>
    <w:rsid w:val="00750D97"/>
    <w:rsid w:val="007514CC"/>
    <w:rsid w:val="00753C15"/>
    <w:rsid w:val="00757C56"/>
    <w:rsid w:val="00757FD8"/>
    <w:rsid w:val="00764567"/>
    <w:rsid w:val="00765B38"/>
    <w:rsid w:val="007774D6"/>
    <w:rsid w:val="007841AF"/>
    <w:rsid w:val="0079169F"/>
    <w:rsid w:val="007951B4"/>
    <w:rsid w:val="007A3714"/>
    <w:rsid w:val="007C0526"/>
    <w:rsid w:val="007C08AC"/>
    <w:rsid w:val="007C1B52"/>
    <w:rsid w:val="007C7F9C"/>
    <w:rsid w:val="007D1474"/>
    <w:rsid w:val="007D318A"/>
    <w:rsid w:val="007D34C5"/>
    <w:rsid w:val="007E06C4"/>
    <w:rsid w:val="007E2428"/>
    <w:rsid w:val="007E3DA5"/>
    <w:rsid w:val="007F2D6F"/>
    <w:rsid w:val="007F2E7C"/>
    <w:rsid w:val="007F6D93"/>
    <w:rsid w:val="00800350"/>
    <w:rsid w:val="008021DA"/>
    <w:rsid w:val="00802293"/>
    <w:rsid w:val="008037F6"/>
    <w:rsid w:val="00803DFF"/>
    <w:rsid w:val="00804D08"/>
    <w:rsid w:val="00804E8C"/>
    <w:rsid w:val="00804FC5"/>
    <w:rsid w:val="00813C2E"/>
    <w:rsid w:val="00814AAC"/>
    <w:rsid w:val="00816A14"/>
    <w:rsid w:val="00817A3B"/>
    <w:rsid w:val="00825E57"/>
    <w:rsid w:val="008349B1"/>
    <w:rsid w:val="00837DC4"/>
    <w:rsid w:val="00844881"/>
    <w:rsid w:val="00845697"/>
    <w:rsid w:val="008457E3"/>
    <w:rsid w:val="0084744D"/>
    <w:rsid w:val="00847A5D"/>
    <w:rsid w:val="008509D9"/>
    <w:rsid w:val="00850AF2"/>
    <w:rsid w:val="0085248A"/>
    <w:rsid w:val="00852774"/>
    <w:rsid w:val="008538B1"/>
    <w:rsid w:val="00855C85"/>
    <w:rsid w:val="00863501"/>
    <w:rsid w:val="00866D93"/>
    <w:rsid w:val="00870CB8"/>
    <w:rsid w:val="008726A6"/>
    <w:rsid w:val="008770E0"/>
    <w:rsid w:val="0088142D"/>
    <w:rsid w:val="00884CD2"/>
    <w:rsid w:val="00886CF9"/>
    <w:rsid w:val="00890E8A"/>
    <w:rsid w:val="00893361"/>
    <w:rsid w:val="008945B5"/>
    <w:rsid w:val="00896D6A"/>
    <w:rsid w:val="00897E97"/>
    <w:rsid w:val="008A21E0"/>
    <w:rsid w:val="008A5E3A"/>
    <w:rsid w:val="008A6E6D"/>
    <w:rsid w:val="008B2767"/>
    <w:rsid w:val="008B27CC"/>
    <w:rsid w:val="008B42C1"/>
    <w:rsid w:val="008B66B9"/>
    <w:rsid w:val="008B720B"/>
    <w:rsid w:val="008C229F"/>
    <w:rsid w:val="008C7513"/>
    <w:rsid w:val="008D2635"/>
    <w:rsid w:val="008D7AB1"/>
    <w:rsid w:val="008E0FEE"/>
    <w:rsid w:val="008E1A7F"/>
    <w:rsid w:val="008E2AAD"/>
    <w:rsid w:val="008E2CBA"/>
    <w:rsid w:val="008E5494"/>
    <w:rsid w:val="008F0262"/>
    <w:rsid w:val="008F0DF4"/>
    <w:rsid w:val="008F1BFF"/>
    <w:rsid w:val="008F4C97"/>
    <w:rsid w:val="008F7BC4"/>
    <w:rsid w:val="009014D3"/>
    <w:rsid w:val="009024D5"/>
    <w:rsid w:val="00904873"/>
    <w:rsid w:val="009058F9"/>
    <w:rsid w:val="0090661B"/>
    <w:rsid w:val="009068F0"/>
    <w:rsid w:val="0091257A"/>
    <w:rsid w:val="00913B74"/>
    <w:rsid w:val="009140CB"/>
    <w:rsid w:val="009157CD"/>
    <w:rsid w:val="00915A9E"/>
    <w:rsid w:val="009254FA"/>
    <w:rsid w:val="00925F8E"/>
    <w:rsid w:val="0093188B"/>
    <w:rsid w:val="0094081B"/>
    <w:rsid w:val="00940D28"/>
    <w:rsid w:val="0094473A"/>
    <w:rsid w:val="00945027"/>
    <w:rsid w:val="009505C2"/>
    <w:rsid w:val="009527FB"/>
    <w:rsid w:val="009531F5"/>
    <w:rsid w:val="00957DA3"/>
    <w:rsid w:val="00960C16"/>
    <w:rsid w:val="00962F6B"/>
    <w:rsid w:val="00967DDD"/>
    <w:rsid w:val="00970CCA"/>
    <w:rsid w:val="009726DC"/>
    <w:rsid w:val="009752D6"/>
    <w:rsid w:val="009763F5"/>
    <w:rsid w:val="00976C95"/>
    <w:rsid w:val="00980835"/>
    <w:rsid w:val="009833C9"/>
    <w:rsid w:val="009901EE"/>
    <w:rsid w:val="00991369"/>
    <w:rsid w:val="0099420F"/>
    <w:rsid w:val="009958CA"/>
    <w:rsid w:val="009A093B"/>
    <w:rsid w:val="009A143F"/>
    <w:rsid w:val="009A57CB"/>
    <w:rsid w:val="009A5A52"/>
    <w:rsid w:val="009B19DA"/>
    <w:rsid w:val="009B2DF6"/>
    <w:rsid w:val="009B52F5"/>
    <w:rsid w:val="009C1D75"/>
    <w:rsid w:val="009C39CB"/>
    <w:rsid w:val="009C4E18"/>
    <w:rsid w:val="009C55A1"/>
    <w:rsid w:val="009D4E34"/>
    <w:rsid w:val="009E0522"/>
    <w:rsid w:val="009E1C92"/>
    <w:rsid w:val="009E2179"/>
    <w:rsid w:val="009F180A"/>
    <w:rsid w:val="009F220A"/>
    <w:rsid w:val="009F387A"/>
    <w:rsid w:val="009F57C3"/>
    <w:rsid w:val="00A00F66"/>
    <w:rsid w:val="00A06EE8"/>
    <w:rsid w:val="00A12E28"/>
    <w:rsid w:val="00A149A1"/>
    <w:rsid w:val="00A14AB2"/>
    <w:rsid w:val="00A20FB9"/>
    <w:rsid w:val="00A22B06"/>
    <w:rsid w:val="00A2608E"/>
    <w:rsid w:val="00A2666D"/>
    <w:rsid w:val="00A301AE"/>
    <w:rsid w:val="00A3029A"/>
    <w:rsid w:val="00A32DD5"/>
    <w:rsid w:val="00A336C4"/>
    <w:rsid w:val="00A33ADF"/>
    <w:rsid w:val="00A34D1E"/>
    <w:rsid w:val="00A36AF8"/>
    <w:rsid w:val="00A44359"/>
    <w:rsid w:val="00A47EC9"/>
    <w:rsid w:val="00A5332A"/>
    <w:rsid w:val="00A56ADD"/>
    <w:rsid w:val="00A56F29"/>
    <w:rsid w:val="00A5709A"/>
    <w:rsid w:val="00A63474"/>
    <w:rsid w:val="00A751DD"/>
    <w:rsid w:val="00A75A32"/>
    <w:rsid w:val="00A76469"/>
    <w:rsid w:val="00A77101"/>
    <w:rsid w:val="00A855E9"/>
    <w:rsid w:val="00A85C07"/>
    <w:rsid w:val="00A87E09"/>
    <w:rsid w:val="00A937F6"/>
    <w:rsid w:val="00A93F67"/>
    <w:rsid w:val="00AA0878"/>
    <w:rsid w:val="00AA52CE"/>
    <w:rsid w:val="00AA591B"/>
    <w:rsid w:val="00AA5B02"/>
    <w:rsid w:val="00AA686A"/>
    <w:rsid w:val="00AA7CEA"/>
    <w:rsid w:val="00AB302B"/>
    <w:rsid w:val="00AB572A"/>
    <w:rsid w:val="00AB6847"/>
    <w:rsid w:val="00AB6E44"/>
    <w:rsid w:val="00AC0062"/>
    <w:rsid w:val="00AC0D1A"/>
    <w:rsid w:val="00AC50D9"/>
    <w:rsid w:val="00AC5C0A"/>
    <w:rsid w:val="00AD1567"/>
    <w:rsid w:val="00AD5718"/>
    <w:rsid w:val="00AD5E1B"/>
    <w:rsid w:val="00AE0270"/>
    <w:rsid w:val="00AE29E3"/>
    <w:rsid w:val="00AE2C4C"/>
    <w:rsid w:val="00AE4F94"/>
    <w:rsid w:val="00AE7D60"/>
    <w:rsid w:val="00B018D9"/>
    <w:rsid w:val="00B01C82"/>
    <w:rsid w:val="00B04E05"/>
    <w:rsid w:val="00B0526D"/>
    <w:rsid w:val="00B05DC0"/>
    <w:rsid w:val="00B07548"/>
    <w:rsid w:val="00B14B36"/>
    <w:rsid w:val="00B14C1E"/>
    <w:rsid w:val="00B217CB"/>
    <w:rsid w:val="00B21CEA"/>
    <w:rsid w:val="00B269D8"/>
    <w:rsid w:val="00B31E5F"/>
    <w:rsid w:val="00B43D77"/>
    <w:rsid w:val="00B44C1F"/>
    <w:rsid w:val="00B462F4"/>
    <w:rsid w:val="00B46369"/>
    <w:rsid w:val="00B52DAB"/>
    <w:rsid w:val="00B53A86"/>
    <w:rsid w:val="00B57FE1"/>
    <w:rsid w:val="00B6062C"/>
    <w:rsid w:val="00B66867"/>
    <w:rsid w:val="00B72A36"/>
    <w:rsid w:val="00B75A56"/>
    <w:rsid w:val="00B83125"/>
    <w:rsid w:val="00B87AF3"/>
    <w:rsid w:val="00B87B1E"/>
    <w:rsid w:val="00B87E8F"/>
    <w:rsid w:val="00B93BFF"/>
    <w:rsid w:val="00B96114"/>
    <w:rsid w:val="00BA07E5"/>
    <w:rsid w:val="00BA11DA"/>
    <w:rsid w:val="00BA228F"/>
    <w:rsid w:val="00BA77FA"/>
    <w:rsid w:val="00BB4E83"/>
    <w:rsid w:val="00BB6A48"/>
    <w:rsid w:val="00BC10DA"/>
    <w:rsid w:val="00BC1387"/>
    <w:rsid w:val="00BC4505"/>
    <w:rsid w:val="00BC702D"/>
    <w:rsid w:val="00BC7B38"/>
    <w:rsid w:val="00BD1591"/>
    <w:rsid w:val="00BD5650"/>
    <w:rsid w:val="00BD5692"/>
    <w:rsid w:val="00BD7484"/>
    <w:rsid w:val="00BD7C59"/>
    <w:rsid w:val="00BE5CD8"/>
    <w:rsid w:val="00BE737D"/>
    <w:rsid w:val="00BF133D"/>
    <w:rsid w:val="00BF6237"/>
    <w:rsid w:val="00BF6506"/>
    <w:rsid w:val="00C10FF0"/>
    <w:rsid w:val="00C13F83"/>
    <w:rsid w:val="00C147CA"/>
    <w:rsid w:val="00C1764F"/>
    <w:rsid w:val="00C2362C"/>
    <w:rsid w:val="00C2371D"/>
    <w:rsid w:val="00C2549E"/>
    <w:rsid w:val="00C26BAE"/>
    <w:rsid w:val="00C3365A"/>
    <w:rsid w:val="00C4074B"/>
    <w:rsid w:val="00C43B54"/>
    <w:rsid w:val="00C472EB"/>
    <w:rsid w:val="00C500F1"/>
    <w:rsid w:val="00C50AF6"/>
    <w:rsid w:val="00C51F54"/>
    <w:rsid w:val="00C5291B"/>
    <w:rsid w:val="00C53130"/>
    <w:rsid w:val="00C631D6"/>
    <w:rsid w:val="00C64747"/>
    <w:rsid w:val="00C67797"/>
    <w:rsid w:val="00C715D4"/>
    <w:rsid w:val="00C73608"/>
    <w:rsid w:val="00C807F2"/>
    <w:rsid w:val="00C81393"/>
    <w:rsid w:val="00C819BF"/>
    <w:rsid w:val="00C87EF5"/>
    <w:rsid w:val="00C90C97"/>
    <w:rsid w:val="00CA0854"/>
    <w:rsid w:val="00CA2D50"/>
    <w:rsid w:val="00CA3909"/>
    <w:rsid w:val="00CA4AFF"/>
    <w:rsid w:val="00CA4E44"/>
    <w:rsid w:val="00CB0CEA"/>
    <w:rsid w:val="00CB5825"/>
    <w:rsid w:val="00CC1749"/>
    <w:rsid w:val="00CC29BE"/>
    <w:rsid w:val="00CC483B"/>
    <w:rsid w:val="00CC611A"/>
    <w:rsid w:val="00CD0BDE"/>
    <w:rsid w:val="00CD2E0C"/>
    <w:rsid w:val="00CD40C1"/>
    <w:rsid w:val="00CE1EAD"/>
    <w:rsid w:val="00CE46B7"/>
    <w:rsid w:val="00CE572E"/>
    <w:rsid w:val="00CE6353"/>
    <w:rsid w:val="00CE6BA3"/>
    <w:rsid w:val="00D01E64"/>
    <w:rsid w:val="00D033F9"/>
    <w:rsid w:val="00D06766"/>
    <w:rsid w:val="00D06B76"/>
    <w:rsid w:val="00D07AAD"/>
    <w:rsid w:val="00D1052A"/>
    <w:rsid w:val="00D10927"/>
    <w:rsid w:val="00D1176E"/>
    <w:rsid w:val="00D12FCA"/>
    <w:rsid w:val="00D131EE"/>
    <w:rsid w:val="00D14B03"/>
    <w:rsid w:val="00D2186D"/>
    <w:rsid w:val="00D2545F"/>
    <w:rsid w:val="00D25FBF"/>
    <w:rsid w:val="00D30410"/>
    <w:rsid w:val="00D34442"/>
    <w:rsid w:val="00D36E42"/>
    <w:rsid w:val="00D41EA1"/>
    <w:rsid w:val="00D41F80"/>
    <w:rsid w:val="00D42B4C"/>
    <w:rsid w:val="00D44901"/>
    <w:rsid w:val="00D45112"/>
    <w:rsid w:val="00D454F3"/>
    <w:rsid w:val="00D469D3"/>
    <w:rsid w:val="00D57DF1"/>
    <w:rsid w:val="00D602D6"/>
    <w:rsid w:val="00D60B74"/>
    <w:rsid w:val="00D62A92"/>
    <w:rsid w:val="00D63814"/>
    <w:rsid w:val="00D734B7"/>
    <w:rsid w:val="00D8065D"/>
    <w:rsid w:val="00D81895"/>
    <w:rsid w:val="00D8220F"/>
    <w:rsid w:val="00D82CC1"/>
    <w:rsid w:val="00D867FB"/>
    <w:rsid w:val="00D90D39"/>
    <w:rsid w:val="00D91618"/>
    <w:rsid w:val="00D926AC"/>
    <w:rsid w:val="00D944D5"/>
    <w:rsid w:val="00D94895"/>
    <w:rsid w:val="00DA0848"/>
    <w:rsid w:val="00DA3889"/>
    <w:rsid w:val="00DB130D"/>
    <w:rsid w:val="00DB3B21"/>
    <w:rsid w:val="00DB41AD"/>
    <w:rsid w:val="00DB6ED0"/>
    <w:rsid w:val="00DB7C24"/>
    <w:rsid w:val="00DC00A2"/>
    <w:rsid w:val="00DC046C"/>
    <w:rsid w:val="00DC72A3"/>
    <w:rsid w:val="00DD0C3D"/>
    <w:rsid w:val="00DD68A6"/>
    <w:rsid w:val="00DD6B08"/>
    <w:rsid w:val="00DD6FDD"/>
    <w:rsid w:val="00DE0A07"/>
    <w:rsid w:val="00DE0C27"/>
    <w:rsid w:val="00DE5760"/>
    <w:rsid w:val="00DE5D69"/>
    <w:rsid w:val="00DE6696"/>
    <w:rsid w:val="00DE6B53"/>
    <w:rsid w:val="00DE77AE"/>
    <w:rsid w:val="00DE7DEF"/>
    <w:rsid w:val="00DF28F0"/>
    <w:rsid w:val="00DF316E"/>
    <w:rsid w:val="00DF4E21"/>
    <w:rsid w:val="00DF567C"/>
    <w:rsid w:val="00E029B9"/>
    <w:rsid w:val="00E03AF6"/>
    <w:rsid w:val="00E175C2"/>
    <w:rsid w:val="00E215C8"/>
    <w:rsid w:val="00E21903"/>
    <w:rsid w:val="00E242C1"/>
    <w:rsid w:val="00E260E0"/>
    <w:rsid w:val="00E26B33"/>
    <w:rsid w:val="00E41904"/>
    <w:rsid w:val="00E43E87"/>
    <w:rsid w:val="00E45A9A"/>
    <w:rsid w:val="00E5062C"/>
    <w:rsid w:val="00E5073D"/>
    <w:rsid w:val="00E5225D"/>
    <w:rsid w:val="00E532BA"/>
    <w:rsid w:val="00E54CAE"/>
    <w:rsid w:val="00E5778B"/>
    <w:rsid w:val="00E61037"/>
    <w:rsid w:val="00E61892"/>
    <w:rsid w:val="00E6428D"/>
    <w:rsid w:val="00E65793"/>
    <w:rsid w:val="00E66001"/>
    <w:rsid w:val="00E66FAF"/>
    <w:rsid w:val="00E72031"/>
    <w:rsid w:val="00E739DE"/>
    <w:rsid w:val="00E7430D"/>
    <w:rsid w:val="00E75EF6"/>
    <w:rsid w:val="00E80DA1"/>
    <w:rsid w:val="00E818B1"/>
    <w:rsid w:val="00E872EF"/>
    <w:rsid w:val="00E94820"/>
    <w:rsid w:val="00E95CAA"/>
    <w:rsid w:val="00EA1D9A"/>
    <w:rsid w:val="00EA75C0"/>
    <w:rsid w:val="00EB1DCD"/>
    <w:rsid w:val="00EB4FC7"/>
    <w:rsid w:val="00ED16F0"/>
    <w:rsid w:val="00ED1B7E"/>
    <w:rsid w:val="00ED3501"/>
    <w:rsid w:val="00ED41C5"/>
    <w:rsid w:val="00ED6D22"/>
    <w:rsid w:val="00ED7614"/>
    <w:rsid w:val="00ED76AC"/>
    <w:rsid w:val="00EE128C"/>
    <w:rsid w:val="00EE2D2A"/>
    <w:rsid w:val="00EF17C5"/>
    <w:rsid w:val="00EF325D"/>
    <w:rsid w:val="00EF36F7"/>
    <w:rsid w:val="00EF3A3E"/>
    <w:rsid w:val="00EF46DD"/>
    <w:rsid w:val="00EF70CE"/>
    <w:rsid w:val="00F01846"/>
    <w:rsid w:val="00F03696"/>
    <w:rsid w:val="00F04959"/>
    <w:rsid w:val="00F050F0"/>
    <w:rsid w:val="00F120ED"/>
    <w:rsid w:val="00F125A5"/>
    <w:rsid w:val="00F17A61"/>
    <w:rsid w:val="00F217DE"/>
    <w:rsid w:val="00F414AC"/>
    <w:rsid w:val="00F4224A"/>
    <w:rsid w:val="00F479ED"/>
    <w:rsid w:val="00F56E44"/>
    <w:rsid w:val="00F60D23"/>
    <w:rsid w:val="00F61C80"/>
    <w:rsid w:val="00F61DE4"/>
    <w:rsid w:val="00F627D6"/>
    <w:rsid w:val="00F635DC"/>
    <w:rsid w:val="00F6452D"/>
    <w:rsid w:val="00F70EBC"/>
    <w:rsid w:val="00F71138"/>
    <w:rsid w:val="00F723BB"/>
    <w:rsid w:val="00F72675"/>
    <w:rsid w:val="00F726CF"/>
    <w:rsid w:val="00F77918"/>
    <w:rsid w:val="00F82FD1"/>
    <w:rsid w:val="00F863BE"/>
    <w:rsid w:val="00F90E46"/>
    <w:rsid w:val="00F912D0"/>
    <w:rsid w:val="00F93A1F"/>
    <w:rsid w:val="00F94422"/>
    <w:rsid w:val="00F944DF"/>
    <w:rsid w:val="00F95632"/>
    <w:rsid w:val="00F96D5C"/>
    <w:rsid w:val="00FA460E"/>
    <w:rsid w:val="00FA679C"/>
    <w:rsid w:val="00FA7454"/>
    <w:rsid w:val="00FB1B59"/>
    <w:rsid w:val="00FC760D"/>
    <w:rsid w:val="00FD2C4D"/>
    <w:rsid w:val="00FD5AB4"/>
    <w:rsid w:val="00FD7EB5"/>
    <w:rsid w:val="00FE62D2"/>
    <w:rsid w:val="00FE64E9"/>
    <w:rsid w:val="00FF19A6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DF007"/>
  <w15:docId w15:val="{E6E38C16-186B-4E48-B8C9-E9DEB29A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C5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99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99"/>
    <w:rsid w:val="006E6A37"/>
  </w:style>
  <w:style w:type="character" w:customStyle="1" w:styleId="Titolo1Carattere">
    <w:name w:val="Titolo 1 Carattere"/>
    <w:basedOn w:val="Carpredefinitoparagrafo"/>
    <w:link w:val="Titolo1"/>
    <w:uiPriority w:val="9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C5B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6C5B15"/>
    <w:pPr>
      <w:spacing w:after="100"/>
      <w:ind w:left="440"/>
    </w:pPr>
  </w:style>
  <w:style w:type="paragraph" w:styleId="Testodelblocco">
    <w:name w:val="Block Text"/>
    <w:basedOn w:val="Normale"/>
    <w:rsid w:val="00B462F4"/>
    <w:pPr>
      <w:spacing w:after="0" w:line="240" w:lineRule="auto"/>
      <w:ind w:left="142" w:right="-113"/>
    </w:pPr>
    <w:rPr>
      <w:rFonts w:ascii="Arial" w:eastAsia="Times New Roman" w:hAnsi="Arial" w:cs="Times New Roman"/>
      <w:b/>
      <w:color w:val="FFFFFF"/>
      <w:sz w:val="46"/>
      <w:szCs w:val="20"/>
      <w:u w:val="single"/>
      <w:lang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B462F4"/>
    <w:pPr>
      <w:spacing w:before="130" w:after="13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B462F4"/>
    <w:rPr>
      <w:rFonts w:ascii="Arial" w:eastAsia="Times New Roman" w:hAnsi="Arial" w:cs="Times New Roman"/>
      <w:szCs w:val="20"/>
      <w:lang w:val="en-GB" w:eastAsia="it-IT"/>
    </w:rPr>
  </w:style>
  <w:style w:type="character" w:styleId="Numeropagina">
    <w:name w:val="page number"/>
    <w:basedOn w:val="Carpredefinitoparagrafo"/>
    <w:rsid w:val="00B462F4"/>
    <w:rPr>
      <w:sz w:val="22"/>
    </w:rPr>
  </w:style>
  <w:style w:type="paragraph" w:customStyle="1" w:styleId="Text2">
    <w:name w:val="Text 2"/>
    <w:basedOn w:val="Normale"/>
    <w:rsid w:val="00B462F4"/>
    <w:pPr>
      <w:tabs>
        <w:tab w:val="left" w:pos="2160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character" w:customStyle="1" w:styleId="hps">
    <w:name w:val="hps"/>
    <w:basedOn w:val="Carpredefinitoparagrafo"/>
    <w:rsid w:val="008509D9"/>
  </w:style>
  <w:style w:type="character" w:customStyle="1" w:styleId="m4180967200422945371titolo1carattere">
    <w:name w:val="m_4180967200422945371titolo1carattere"/>
    <w:basedOn w:val="Carpredefinitoparagrafo"/>
    <w:rsid w:val="00A20FB9"/>
  </w:style>
  <w:style w:type="character" w:styleId="Collegamentovisitato">
    <w:name w:val="FollowedHyperlink"/>
    <w:basedOn w:val="Carpredefinitoparagrafo"/>
    <w:uiPriority w:val="99"/>
    <w:semiHidden/>
    <w:unhideWhenUsed/>
    <w:rsid w:val="00925F8E"/>
    <w:rPr>
      <w:color w:val="800080"/>
      <w:u w:val="single"/>
    </w:rPr>
  </w:style>
  <w:style w:type="paragraph" w:customStyle="1" w:styleId="msonormal0">
    <w:name w:val="msonormal"/>
    <w:basedOn w:val="Normale"/>
    <w:rsid w:val="00925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925F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925F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925F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925F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9">
    <w:name w:val="xl69"/>
    <w:basedOn w:val="Normale"/>
    <w:rsid w:val="00925F8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336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it-IT"/>
    </w:rPr>
  </w:style>
  <w:style w:type="paragraph" w:customStyle="1" w:styleId="xl70">
    <w:name w:val="xl70"/>
    <w:basedOn w:val="Normale"/>
    <w:rsid w:val="00925F8E"/>
    <w:pPr>
      <w:pBdr>
        <w:top w:val="single" w:sz="8" w:space="0" w:color="auto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1">
    <w:name w:val="xl71"/>
    <w:basedOn w:val="Normale"/>
    <w:rsid w:val="00925F8E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2">
    <w:name w:val="xl72"/>
    <w:basedOn w:val="Normale"/>
    <w:rsid w:val="00925F8E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925F8E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925F8E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925F8E"/>
    <w:pPr>
      <w:pBdr>
        <w:top w:val="single" w:sz="4" w:space="0" w:color="000000"/>
        <w:left w:val="single" w:sz="8" w:space="0" w:color="auto"/>
        <w:bottom w:val="single" w:sz="8" w:space="0" w:color="auto"/>
        <w:right w:val="single" w:sz="4" w:space="0" w:color="000000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925F8E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7">
    <w:name w:val="xl77"/>
    <w:basedOn w:val="Normale"/>
    <w:rsid w:val="00925F8E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8">
    <w:name w:val="xl78"/>
    <w:basedOn w:val="Normale"/>
    <w:rsid w:val="00925F8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9">
    <w:name w:val="xl79"/>
    <w:basedOn w:val="Normale"/>
    <w:rsid w:val="00925F8E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0">
    <w:name w:val="xl80"/>
    <w:basedOn w:val="Normale"/>
    <w:rsid w:val="00925F8E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1">
    <w:name w:val="xl81"/>
    <w:basedOn w:val="Normale"/>
    <w:rsid w:val="00925F8E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2">
    <w:name w:val="xl82"/>
    <w:basedOn w:val="Normale"/>
    <w:rsid w:val="00925F8E"/>
    <w:pPr>
      <w:pBdr>
        <w:top w:val="single" w:sz="4" w:space="0" w:color="000000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925F8E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925F8E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5">
    <w:name w:val="xl85"/>
    <w:basedOn w:val="Normale"/>
    <w:rsid w:val="00925F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6">
    <w:name w:val="xl86"/>
    <w:basedOn w:val="Normale"/>
    <w:rsid w:val="00925F8E"/>
    <w:pPr>
      <w:pBdr>
        <w:top w:val="single" w:sz="8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7">
    <w:name w:val="xl87"/>
    <w:basedOn w:val="Normale"/>
    <w:rsid w:val="00925F8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8">
    <w:name w:val="xl88"/>
    <w:basedOn w:val="Normale"/>
    <w:rsid w:val="00925F8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9">
    <w:name w:val="xl89"/>
    <w:basedOn w:val="Normale"/>
    <w:rsid w:val="00925F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925F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1">
    <w:name w:val="xl91"/>
    <w:basedOn w:val="Normale"/>
    <w:rsid w:val="00925F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925F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925F8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925F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925F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925F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925F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925F8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925F8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925F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925F8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925F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3">
    <w:name w:val="xl103"/>
    <w:basedOn w:val="Normale"/>
    <w:rsid w:val="00925F8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4">
    <w:name w:val="xl104"/>
    <w:basedOn w:val="Normale"/>
    <w:rsid w:val="00925F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5">
    <w:name w:val="xl105"/>
    <w:basedOn w:val="Normale"/>
    <w:rsid w:val="00925F8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925F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925F8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8">
    <w:name w:val="xl108"/>
    <w:basedOn w:val="Normale"/>
    <w:rsid w:val="00925F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9">
    <w:name w:val="xl109"/>
    <w:basedOn w:val="Normale"/>
    <w:rsid w:val="00925F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0">
    <w:name w:val="xl110"/>
    <w:basedOn w:val="Normale"/>
    <w:rsid w:val="00925F8E"/>
    <w:pPr>
      <w:pBdr>
        <w:top w:val="single" w:sz="8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1">
    <w:name w:val="xl111"/>
    <w:basedOn w:val="Normale"/>
    <w:rsid w:val="00925F8E"/>
    <w:pPr>
      <w:pBdr>
        <w:left w:val="single" w:sz="4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2">
    <w:name w:val="xl112"/>
    <w:basedOn w:val="Normale"/>
    <w:rsid w:val="00925F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3">
    <w:name w:val="xl113"/>
    <w:basedOn w:val="Normale"/>
    <w:rsid w:val="00925F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925F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925F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6">
    <w:name w:val="xl116"/>
    <w:basedOn w:val="Normale"/>
    <w:rsid w:val="00925F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7">
    <w:name w:val="xl117"/>
    <w:basedOn w:val="Normale"/>
    <w:rsid w:val="00925F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8">
    <w:name w:val="xl118"/>
    <w:basedOn w:val="Normale"/>
    <w:rsid w:val="00925F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9">
    <w:name w:val="xl119"/>
    <w:basedOn w:val="Normale"/>
    <w:rsid w:val="00925F8E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925F8E"/>
    <w:pPr>
      <w:pBdr>
        <w:left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925F8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2">
    <w:name w:val="xl122"/>
    <w:basedOn w:val="Normale"/>
    <w:rsid w:val="00925F8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3">
    <w:name w:val="xl123"/>
    <w:basedOn w:val="Normale"/>
    <w:rsid w:val="00925F8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925F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25">
    <w:name w:val="xl125"/>
    <w:basedOn w:val="Normale"/>
    <w:rsid w:val="00925F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925F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925F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8">
    <w:name w:val="xl128"/>
    <w:basedOn w:val="Normale"/>
    <w:rsid w:val="00925F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9">
    <w:name w:val="xl129"/>
    <w:basedOn w:val="Normale"/>
    <w:rsid w:val="00925F8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0">
    <w:name w:val="xl130"/>
    <w:basedOn w:val="Normale"/>
    <w:rsid w:val="00925F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1">
    <w:name w:val="xl131"/>
    <w:basedOn w:val="Normale"/>
    <w:rsid w:val="00925F8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2">
    <w:name w:val="xl132"/>
    <w:basedOn w:val="Normale"/>
    <w:rsid w:val="00925F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3">
    <w:name w:val="xl133"/>
    <w:basedOn w:val="Normale"/>
    <w:rsid w:val="00925F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4">
    <w:name w:val="xl134"/>
    <w:basedOn w:val="Normale"/>
    <w:rsid w:val="00925F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5">
    <w:name w:val="xl135"/>
    <w:basedOn w:val="Normale"/>
    <w:rsid w:val="00925F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6">
    <w:name w:val="xl136"/>
    <w:basedOn w:val="Normale"/>
    <w:rsid w:val="00925F8E"/>
    <w:pPr>
      <w:pBdr>
        <w:top w:val="single" w:sz="8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925F8E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8">
    <w:name w:val="xl138"/>
    <w:basedOn w:val="Normale"/>
    <w:rsid w:val="00925F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ferimentodelicato">
    <w:name w:val="Subtle Reference"/>
    <w:uiPriority w:val="31"/>
    <w:qFormat/>
    <w:rsid w:val="0085248A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85248A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5248A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85248A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85248A"/>
    <w:rPr>
      <w:rFonts w:asciiTheme="majorHAnsi" w:eastAsia="Calibri" w:hAnsiTheme="majorHAnsi" w:cstheme="majorHAnsi"/>
      <w:sz w:val="12"/>
      <w:szCs w:val="12"/>
    </w:rPr>
  </w:style>
  <w:style w:type="character" w:styleId="Menzionenonrisolta">
    <w:name w:val="Unresolved Mention"/>
    <w:basedOn w:val="Carpredefinitoparagrafo"/>
    <w:uiPriority w:val="99"/>
    <w:semiHidden/>
    <w:unhideWhenUsed/>
    <w:rsid w:val="00D41F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egretariatogenerale.AdA@pec.lavoro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gretariatoFEAD@lavoro.gov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AB5B-E097-45D5-A7A9-1E772EB0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16</Pages>
  <Words>4601</Words>
  <Characters>26229</Characters>
  <Application>Microsoft Office Word</Application>
  <DocSecurity>0</DocSecurity>
  <Lines>218</Lines>
  <Paragraphs>61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Orlando Patrizia</dc:creator>
  <cp:lastModifiedBy>Pezza Anna Maria</cp:lastModifiedBy>
  <cp:revision>44</cp:revision>
  <cp:lastPrinted>2018-02-23T11:19:00Z</cp:lastPrinted>
  <dcterms:created xsi:type="dcterms:W3CDTF">2018-02-13T17:06:00Z</dcterms:created>
  <dcterms:modified xsi:type="dcterms:W3CDTF">2021-12-22T09:54:00Z</dcterms:modified>
</cp:coreProperties>
</file>